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firstLine="302" w:firstLineChars="1510"/>
        <w:rPr>
          <w:rFonts w:eastAsia="仿宋_GB2312"/>
          <w:sz w:val="2"/>
          <w:szCs w:val="2"/>
        </w:rPr>
      </w:pPr>
    </w:p>
    <w:p>
      <w:pPr>
        <w:pStyle w:val="2"/>
      </w:pPr>
    </w:p>
    <w:p>
      <w:pPr>
        <w:pStyle w:val="2"/>
        <w:rPr>
          <w:rFonts w:hint="eastAsia" w:ascii="仿宋_GB2312" w:hAnsi="方正仿宋_GBK" w:eastAsia="仿宋_GB2312" w:cs="方正仿宋_GBK"/>
          <w:sz w:val="32"/>
          <w:szCs w:val="32"/>
        </w:rPr>
      </w:pPr>
      <w:bookmarkStart w:id="0" w:name="_GoBack"/>
      <w:bookmarkEnd w:id="0"/>
      <w:r>
        <w:rPr>
          <w:rFonts w:hint="eastAsia" w:ascii="仿宋_GB2312" w:hAnsi="方正仿宋_GBK" w:eastAsia="仿宋_GB2312" w:cs="方正仿宋_GBK"/>
          <w:sz w:val="32"/>
          <w:szCs w:val="32"/>
        </w:rPr>
        <w:t>附件</w:t>
      </w:r>
    </w:p>
    <w:p>
      <w:pPr>
        <w:pStyle w:val="2"/>
        <w:rPr>
          <w:rFonts w:hint="eastAsia" w:ascii="仿宋_GB2312" w:hAnsi="方正仿宋_GBK" w:eastAsia="仿宋_GB2312" w:cs="方正仿宋_GBK"/>
          <w:sz w:val="32"/>
          <w:szCs w:val="32"/>
        </w:rPr>
      </w:pPr>
    </w:p>
    <w:p>
      <w:pPr>
        <w:pStyle w:val="14"/>
        <w:widowControl/>
        <w:shd w:val="clear" w:color="auto" w:fill="FFFFFF"/>
        <w:spacing w:before="0" w:beforeAutospacing="0" w:after="0" w:afterAutospacing="0" w:line="640" w:lineRule="exact"/>
        <w:jc w:val="center"/>
        <w:rPr>
          <w:rStyle w:val="21"/>
          <w:rFonts w:hint="eastAsia" w:ascii="方正小标宋简体" w:hAnsi="方正小标宋简体" w:eastAsia="方正小标宋简体"/>
          <w:b w:val="0"/>
          <w:bCs w:val="0"/>
          <w:sz w:val="44"/>
          <w:szCs w:val="44"/>
          <w:shd w:val="clear" w:color="auto" w:fill="FFFFFF"/>
        </w:rPr>
      </w:pPr>
      <w:r>
        <w:rPr>
          <w:rStyle w:val="21"/>
          <w:rFonts w:hint="eastAsia" w:ascii="方正小标宋简体" w:hAnsi="方正小标宋简体" w:eastAsia="方正小标宋简体"/>
          <w:b w:val="0"/>
          <w:bCs w:val="0"/>
          <w:sz w:val="44"/>
          <w:szCs w:val="44"/>
          <w:shd w:val="clear" w:color="auto" w:fill="FFFFFF"/>
        </w:rPr>
        <w:t>淮北市扶持高层次科技人才团队在淮创新</w:t>
      </w:r>
    </w:p>
    <w:p>
      <w:pPr>
        <w:pStyle w:val="14"/>
        <w:widowControl/>
        <w:shd w:val="clear" w:color="auto" w:fill="FFFFFF"/>
        <w:spacing w:before="0" w:beforeAutospacing="0" w:after="0" w:afterAutospacing="0" w:line="640" w:lineRule="exact"/>
        <w:jc w:val="center"/>
        <w:rPr>
          <w:rStyle w:val="21"/>
          <w:rFonts w:hint="eastAsia" w:ascii="方正小标宋简体" w:hAnsi="方正小标宋简体" w:eastAsia="方正小标宋简体"/>
          <w:b w:val="0"/>
          <w:bCs w:val="0"/>
          <w:sz w:val="44"/>
          <w:szCs w:val="44"/>
          <w:shd w:val="clear" w:color="auto" w:fill="FFFFFF"/>
        </w:rPr>
      </w:pPr>
      <w:r>
        <w:rPr>
          <w:rStyle w:val="21"/>
          <w:rFonts w:hint="eastAsia" w:ascii="方正小标宋简体" w:hAnsi="方正小标宋简体" w:eastAsia="方正小标宋简体"/>
          <w:b w:val="0"/>
          <w:bCs w:val="0"/>
          <w:sz w:val="44"/>
          <w:szCs w:val="44"/>
          <w:shd w:val="clear" w:color="auto" w:fill="FFFFFF"/>
        </w:rPr>
        <w:t>创业实施细则（试行）</w:t>
      </w:r>
    </w:p>
    <w:p>
      <w:pPr>
        <w:pStyle w:val="14"/>
        <w:widowControl/>
        <w:shd w:val="clear" w:color="auto" w:fill="FFFFFF"/>
        <w:spacing w:before="0" w:beforeAutospacing="0" w:after="0" w:afterAutospacing="0" w:line="640" w:lineRule="exact"/>
        <w:jc w:val="center"/>
        <w:rPr>
          <w:rStyle w:val="21"/>
          <w:rFonts w:hint="eastAsia" w:ascii="楷体_GB2312" w:hAnsi="方正小标宋简体" w:eastAsia="楷体_GB2312"/>
          <w:bCs w:val="0"/>
          <w:sz w:val="44"/>
          <w:szCs w:val="44"/>
          <w:shd w:val="clear" w:color="auto" w:fill="FFFFFF"/>
        </w:rPr>
      </w:pPr>
      <w:r>
        <w:rPr>
          <w:rStyle w:val="21"/>
          <w:rFonts w:hint="eastAsia" w:ascii="楷体_GB2312" w:hAnsi="方正楷体_GBK" w:eastAsia="楷体_GB2312" w:cs="方正楷体_GBK"/>
          <w:bCs w:val="0"/>
          <w:sz w:val="32"/>
          <w:szCs w:val="32"/>
          <w:shd w:val="clear" w:color="auto" w:fill="FFFFFF"/>
        </w:rPr>
        <w:t>（征求意见稿）</w:t>
      </w:r>
    </w:p>
    <w:p>
      <w:pPr>
        <w:pStyle w:val="14"/>
        <w:widowControl/>
        <w:shd w:val="clear" w:color="auto" w:fill="FFFFFF"/>
        <w:spacing w:before="0" w:beforeAutospacing="0" w:after="0" w:afterAutospacing="0" w:line="580" w:lineRule="exact"/>
        <w:ind w:firstLine="643" w:firstLineChars="200"/>
        <w:jc w:val="both"/>
        <w:rPr>
          <w:rFonts w:eastAsia="仿宋"/>
          <w:b/>
          <w:bCs/>
          <w:sz w:val="32"/>
          <w:szCs w:val="32"/>
          <w:shd w:val="clear" w:color="auto" w:fill="FFFFFF"/>
        </w:rPr>
      </w:pPr>
    </w:p>
    <w:p>
      <w:pPr>
        <w:widowControl/>
        <w:shd w:val="clear" w:color="auto" w:fill="FFFFFF"/>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第一条</w:t>
      </w:r>
      <w:r>
        <w:rPr>
          <w:rFonts w:eastAsia="仿宋_GB2312"/>
          <w:color w:val="000000" w:themeColor="text1"/>
          <w:sz w:val="32"/>
          <w:szCs w:val="32"/>
          <w:shd w:val="clear" w:color="auto" w:fill="FFFFFF"/>
          <w14:textFill>
            <w14:solidFill>
              <w14:schemeClr w14:val="tx1"/>
            </w14:solidFill>
          </w14:textFill>
        </w:rPr>
        <w:t xml:space="preserve"> 为扶持高层次科技人才团队（以下简称“科技人才团队”）在淮创新创业，根据安徽省人民政府《关于印发支持科技创新若干政策的通知》（皖政〔2017〕52号）、《淮北市产业扶持政策清单》（淮政〔2023〕13号）和淮北3.0版人才政策精神，制定本细则。</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第二条</w:t>
      </w:r>
      <w:r>
        <w:rPr>
          <w:rFonts w:eastAsia="仿宋_GB2312"/>
          <w:color w:val="000000" w:themeColor="text1"/>
          <w:sz w:val="32"/>
          <w:szCs w:val="32"/>
          <w:shd w:val="clear" w:color="auto" w:fill="FFFFFF"/>
          <w14:textFill>
            <w14:solidFill>
              <w14:schemeClr w14:val="tx1"/>
            </w14:solidFill>
          </w14:textFill>
        </w:rPr>
        <w:t xml:space="preserve"> 本细则所称的科技人才团队是指拥有自主知识产权、具有国际先进或国内一流水平科技成果，落地淮北创业的市内外科技人才团队。</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第三条</w:t>
      </w:r>
      <w:r>
        <w:rPr>
          <w:rFonts w:eastAsia="仿宋_GB2312"/>
          <w:color w:val="000000" w:themeColor="text1"/>
          <w:sz w:val="32"/>
          <w:szCs w:val="32"/>
          <w:shd w:val="clear" w:color="auto" w:fill="FFFFFF"/>
          <w14:textFill>
            <w14:solidFill>
              <w14:schemeClr w14:val="tx1"/>
            </w14:solidFill>
          </w14:textFill>
        </w:rPr>
        <w:t xml:space="preserve"> 市政府对携带具有自主知识产权的科技成果，在淮创办公司或与市内企业共同设立公司，开展科技成果转化活动的科技人才团队，择优以</w:t>
      </w:r>
      <w:r>
        <w:rPr>
          <w:rFonts w:eastAsia="仿宋_GB2312"/>
          <w:bCs/>
          <w:color w:val="000000" w:themeColor="text1"/>
          <w:sz w:val="32"/>
          <w:szCs w:val="32"/>
          <w:shd w:val="clear" w:color="auto" w:fill="FFFFFF"/>
          <w14:textFill>
            <w14:solidFill>
              <w14:schemeClr w14:val="tx1"/>
            </w14:solidFill>
          </w14:textFill>
        </w:rPr>
        <w:t>股权投资或债权投入方式</w:t>
      </w:r>
      <w:r>
        <w:rPr>
          <w:rFonts w:eastAsia="仿宋_GB2312"/>
          <w:color w:val="000000" w:themeColor="text1"/>
          <w:sz w:val="32"/>
          <w:szCs w:val="32"/>
          <w:shd w:val="clear" w:color="auto" w:fill="FFFFFF"/>
          <w14:textFill>
            <w14:solidFill>
              <w14:schemeClr w14:val="tx1"/>
            </w14:solidFill>
          </w14:textFill>
        </w:rPr>
        <w:t>给予支持。</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第四条</w:t>
      </w:r>
      <w:r>
        <w:rPr>
          <w:rFonts w:eastAsia="仿宋_GB2312"/>
          <w:color w:val="000000" w:themeColor="text1"/>
          <w:sz w:val="32"/>
          <w:szCs w:val="32"/>
          <w:shd w:val="clear" w:color="auto" w:fill="FFFFFF"/>
          <w14:textFill>
            <w14:solidFill>
              <w14:schemeClr w14:val="tx1"/>
            </w14:solidFill>
          </w14:textFill>
        </w:rPr>
        <w:t xml:space="preserve"> 市政府委托淮北市产业投资集团有限公司（以下简称市产投集团）按照相关法律法规和政策规定与科技人才团队签订</w:t>
      </w:r>
      <w:r>
        <w:rPr>
          <w:rFonts w:eastAsia="仿宋_GB2312"/>
          <w:bCs/>
          <w:color w:val="000000" w:themeColor="text1"/>
          <w:sz w:val="32"/>
          <w:szCs w:val="32"/>
          <w:shd w:val="clear" w:color="auto" w:fill="FFFFFF"/>
          <w14:textFill>
            <w14:solidFill>
              <w14:schemeClr w14:val="tx1"/>
            </w14:solidFill>
          </w14:textFill>
        </w:rPr>
        <w:t>股权投资或债权投入协议</w:t>
      </w:r>
      <w:r>
        <w:rPr>
          <w:rFonts w:eastAsia="仿宋_GB2312"/>
          <w:color w:val="000000" w:themeColor="text1"/>
          <w:sz w:val="32"/>
          <w:szCs w:val="32"/>
          <w:shd w:val="clear" w:color="auto" w:fill="FFFFFF"/>
          <w14:textFill>
            <w14:solidFill>
              <w14:schemeClr w14:val="tx1"/>
            </w14:solidFill>
          </w14:textFill>
        </w:rPr>
        <w:t>，并牵头负责科技人才团队项目的资金投入、投后管理、项目退出等具体事宜。</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对技术水平高、市场潜力大、发展前景好的科技人才团队项目，市产投集团可直接投资。</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 xml:space="preserve">第五条 </w:t>
      </w:r>
      <w:r>
        <w:rPr>
          <w:rFonts w:eastAsia="仿宋_GB2312"/>
          <w:color w:val="000000" w:themeColor="text1"/>
          <w:sz w:val="32"/>
          <w:szCs w:val="32"/>
          <w14:textFill>
            <w14:solidFill>
              <w14:schemeClr w14:val="tx1"/>
            </w14:solidFill>
          </w14:textFill>
        </w:rPr>
        <w:t>来淮创新创业的科技人才团队，经市科技局牵头认定后，市政府分档给予2000万元、1000万元、600万元、300、150万元支持。标志性成果达到国际顶尖水平、能够直接驱动“五群十链”产业发展的高层次人才和团队，在引进条件和支持措施上实行“一事一议”。</w:t>
      </w:r>
    </w:p>
    <w:p>
      <w:pPr>
        <w:widowControl/>
        <w:shd w:val="clear" w:color="auto" w:fill="FFFFFF"/>
        <w:spacing w:line="580" w:lineRule="exact"/>
        <w:ind w:firstLine="643" w:firstLineChars="200"/>
        <w:rPr>
          <w:rFonts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 xml:space="preserve">第六条 </w:t>
      </w:r>
      <w:r>
        <w:rPr>
          <w:rFonts w:eastAsia="仿宋_GB2312"/>
          <w:color w:val="000000" w:themeColor="text1"/>
          <w:sz w:val="32"/>
          <w:szCs w:val="32"/>
          <w:shd w:val="clear" w:color="auto" w:fill="FFFFFF"/>
          <w14:textFill>
            <w14:solidFill>
              <w14:schemeClr w14:val="tx1"/>
            </w14:solidFill>
          </w14:textFill>
        </w:rPr>
        <w:t>县区、园区（以下简称县区）根据主导产业、战略性新兴产业发展需要，结合本区域发展规划招引科技人才团队。</w:t>
      </w:r>
    </w:p>
    <w:p>
      <w:pPr>
        <w:pStyle w:val="14"/>
        <w:widowControl/>
        <w:shd w:val="clear" w:color="auto" w:fill="FFFFFF"/>
        <w:spacing w:before="0" w:beforeAutospacing="0" w:after="0" w:afterAutospacing="0" w:line="580" w:lineRule="exact"/>
        <w:ind w:firstLine="640" w:firstLineChars="200"/>
        <w:jc w:val="both"/>
        <w:rPr>
          <w:rFonts w:eastAsia="仿宋_GB2312"/>
          <w:b/>
          <w:bCs/>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县区应与科技人才团队签订招引协议，以专项资金方式，或委托国有投资机构，采取招商引资奖励、股权投资或债权投入等方式，支持科技人才团队发展。</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 xml:space="preserve">第七条 </w:t>
      </w:r>
      <w:r>
        <w:rPr>
          <w:rFonts w:eastAsia="仿宋_GB2312"/>
          <w:color w:val="000000" w:themeColor="text1"/>
          <w:sz w:val="32"/>
          <w:szCs w:val="32"/>
          <w:shd w:val="clear" w:color="auto" w:fill="FFFFFF"/>
          <w14:textFill>
            <w14:solidFill>
              <w14:schemeClr w14:val="tx1"/>
            </w14:solidFill>
          </w14:textFill>
        </w:rPr>
        <w:t>申请市扶持资金的科技人才团队，应具备以下条件：</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（一）科技人才团队在淮创设的公司注册成立3年以内，对工期有特殊要求的可以延长1年，且发展势头良好。</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（二）团队</w:t>
      </w:r>
      <w:r>
        <w:rPr>
          <w:rFonts w:eastAsia="仿宋_GB2312"/>
          <w:bCs/>
          <w:color w:val="000000" w:themeColor="text1"/>
          <w:sz w:val="32"/>
          <w:szCs w:val="32"/>
          <w:shd w:val="clear" w:color="auto" w:fill="FFFFFF"/>
          <w14:textFill>
            <w14:solidFill>
              <w14:schemeClr w14:val="tx1"/>
            </w14:solidFill>
          </w14:textFill>
        </w:rPr>
        <w:t>带头人一般应取得硕士以上</w:t>
      </w:r>
      <w:r>
        <w:rPr>
          <w:rFonts w:eastAsia="仿宋_GB2312"/>
          <w:color w:val="000000" w:themeColor="text1"/>
          <w:sz w:val="32"/>
          <w:szCs w:val="32"/>
          <w:shd w:val="clear" w:color="auto" w:fill="FFFFFF"/>
          <w14:textFill>
            <w14:solidFill>
              <w14:schemeClr w14:val="tx1"/>
            </w14:solidFill>
          </w14:textFill>
        </w:rPr>
        <w:t>学位，或取得高校、科研院所副教授（副研究员、高级工程师）以上职称，或在国内外知名企业和机构担任高级职务3年以上。</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（三）科技人才团队成员应在3名以上（含3名），成员间知识技能结构合理。</w:t>
      </w:r>
    </w:p>
    <w:p>
      <w:pPr>
        <w:pStyle w:val="14"/>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（四）</w:t>
      </w:r>
      <w:r>
        <w:rPr>
          <w:rFonts w:eastAsia="仿宋_GB2312"/>
          <w:bCs/>
          <w:color w:val="000000" w:themeColor="text1"/>
          <w:sz w:val="32"/>
          <w:szCs w:val="32"/>
          <w:shd w:val="clear" w:color="auto" w:fill="FFFFFF"/>
          <w14:textFill>
            <w14:solidFill>
              <w14:schemeClr w14:val="tx1"/>
            </w14:solidFill>
          </w14:textFill>
        </w:rPr>
        <w:t>县区扶持资金出资后，科技人才团队持股不少于公司总股本20%。团队及其他股东现金出资不低于各级政府扶持资金的50%。团队带头人直接持有公司股份。团队成员3年内未经政府出资方同意，不得脱离公司或出让所持有的股份。团队带头人在扶持资金</w:t>
      </w:r>
      <w:r>
        <w:rPr>
          <w:rFonts w:eastAsia="仿宋_GB2312"/>
          <w:color w:val="000000" w:themeColor="text1"/>
          <w:sz w:val="32"/>
          <w:szCs w:val="32"/>
          <w:shd w:val="clear" w:color="auto" w:fill="FFFFFF"/>
          <w14:textFill>
            <w14:solidFill>
              <w14:schemeClr w14:val="tx1"/>
            </w14:solidFill>
          </w14:textFill>
        </w:rPr>
        <w:t>未退出前，不得脱离公司或出让所持有的股份。</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（五）科技人才团队携带的科技成果应拥有自主知识产权，</w:t>
      </w:r>
      <w:r>
        <w:rPr>
          <w:rFonts w:eastAsia="仿宋_GB2312"/>
          <w:bCs/>
          <w:color w:val="000000" w:themeColor="text1"/>
          <w:sz w:val="32"/>
          <w:szCs w:val="32"/>
          <w:shd w:val="clear" w:color="auto" w:fill="FFFFFF"/>
          <w14:textFill>
            <w14:solidFill>
              <w14:schemeClr w14:val="tx1"/>
            </w14:solidFill>
          </w14:textFill>
        </w:rPr>
        <w:t>具有国际先进或国内一流水平，</w:t>
      </w:r>
      <w:r>
        <w:rPr>
          <w:rFonts w:eastAsia="仿宋_GB2312"/>
          <w:color w:val="000000" w:themeColor="text1"/>
          <w:sz w:val="32"/>
          <w:szCs w:val="32"/>
          <w:shd w:val="clear" w:color="auto" w:fill="FFFFFF"/>
          <w14:textFill>
            <w14:solidFill>
              <w14:schemeClr w14:val="tx1"/>
            </w14:solidFill>
          </w14:textFill>
        </w:rPr>
        <w:t>并能在自公司注册之日起18个月内转化为产品并形成销售收入。</w:t>
      </w:r>
    </w:p>
    <w:p>
      <w:pPr>
        <w:pStyle w:val="14"/>
        <w:widowControl/>
        <w:shd w:val="clear" w:color="auto" w:fill="FFFFFF"/>
        <w:spacing w:before="0" w:beforeAutospacing="0" w:after="0" w:afterAutospacing="0" w:line="580" w:lineRule="exact"/>
        <w:ind w:firstLine="640" w:firstLineChars="200"/>
        <w:jc w:val="both"/>
        <w:rPr>
          <w:rFonts w:eastAsia="仿宋_GB2312"/>
          <w:bCs/>
          <w:color w:val="000000" w:themeColor="text1"/>
          <w:spacing w:val="7"/>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（六）</w:t>
      </w:r>
      <w:r>
        <w:rPr>
          <w:rFonts w:eastAsia="仿宋_GB2312"/>
          <w:color w:val="000000" w:themeColor="text1"/>
          <w:spacing w:val="7"/>
          <w:sz w:val="32"/>
          <w:szCs w:val="32"/>
          <w14:textFill>
            <w14:solidFill>
              <w14:schemeClr w14:val="tx1"/>
            </w14:solidFill>
          </w14:textFill>
        </w:rPr>
        <w:t>县区（园区）支持每个科技团队的资金不少于</w:t>
      </w:r>
      <w:r>
        <w:rPr>
          <w:rFonts w:eastAsia="仿宋_GB2312"/>
          <w:bCs/>
          <w:color w:val="000000" w:themeColor="text1"/>
          <w:spacing w:val="7"/>
          <w:sz w:val="32"/>
          <w:szCs w:val="32"/>
          <w14:textFill>
            <w14:solidFill>
              <w14:schemeClr w14:val="tx1"/>
            </w14:solidFill>
          </w14:textFill>
        </w:rPr>
        <w:t>150万元。</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 xml:space="preserve">第八条 </w:t>
      </w:r>
      <w:r>
        <w:rPr>
          <w:rFonts w:eastAsia="仿宋_GB2312"/>
          <w:bCs/>
          <w:color w:val="000000" w:themeColor="text1"/>
          <w:sz w:val="32"/>
          <w:szCs w:val="32"/>
          <w:shd w:val="clear" w:color="auto" w:fill="FFFFFF"/>
          <w14:textFill>
            <w14:solidFill>
              <w14:schemeClr w14:val="tx1"/>
            </w14:solidFill>
          </w14:textFill>
        </w:rPr>
        <w:t>科技人才团队已经成立的公司在淮独立或合资成立新的公司，除满足第八条（一）—（六）外，科技人才团队原公司在新公司中持有股份不少于40%。</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 xml:space="preserve">第九条 </w:t>
      </w:r>
      <w:r>
        <w:rPr>
          <w:rFonts w:eastAsia="仿宋_GB2312"/>
          <w:color w:val="000000" w:themeColor="text1"/>
          <w:sz w:val="32"/>
          <w:szCs w:val="32"/>
          <w:shd w:val="clear" w:color="auto" w:fill="FFFFFF"/>
          <w14:textFill>
            <w14:solidFill>
              <w14:schemeClr w14:val="tx1"/>
            </w14:solidFill>
          </w14:textFill>
        </w:rPr>
        <w:t>市扶持科技人才团队招引工作坚持公开、公平、择优原则。工作程序如下：</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（一）团队申报。市科技局每年发布公告，科技人才团队填报《淮北市高层次科技人才团队申报书》，并提供相应附件材料。</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（二）县区推荐。县区选择发展前景好、市场潜力大的科技人才团队项目向市科技局推荐，并出具推荐函。</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（三）技术评审。</w:t>
      </w:r>
      <w:r>
        <w:rPr>
          <w:rFonts w:eastAsia="仿宋_GB2312"/>
          <w:bCs/>
          <w:color w:val="000000" w:themeColor="text1"/>
          <w:sz w:val="32"/>
          <w:szCs w:val="32"/>
          <w:shd w:val="clear" w:color="auto" w:fill="FFFFFF"/>
          <w14:textFill>
            <w14:solidFill>
              <w14:schemeClr w14:val="tx1"/>
            </w14:solidFill>
          </w14:textFill>
        </w:rPr>
        <w:t>市科技局组织专家</w:t>
      </w:r>
      <w:r>
        <w:rPr>
          <w:rFonts w:eastAsia="仿宋_GB2312"/>
          <w:color w:val="000000" w:themeColor="text1"/>
          <w:sz w:val="32"/>
          <w:szCs w:val="32"/>
          <w:shd w:val="clear" w:color="auto" w:fill="FFFFFF"/>
          <w14:textFill>
            <w14:solidFill>
              <w14:schemeClr w14:val="tx1"/>
            </w14:solidFill>
          </w14:textFill>
        </w:rPr>
        <w:t>对申报的科技人才团队项目的技术先进性进行评审，并形成评审意见。</w:t>
      </w:r>
    </w:p>
    <w:p>
      <w:pPr>
        <w:pStyle w:val="14"/>
        <w:shd w:val="clear" w:color="auto" w:fill="FFFFFF"/>
        <w:spacing w:before="0" w:beforeAutospacing="0" w:after="0" w:afterAutospacing="0" w:line="580" w:lineRule="exact"/>
        <w:ind w:firstLine="640" w:firstLineChars="200"/>
        <w:jc w:val="both"/>
        <w:rPr>
          <w:rFonts w:hint="eastAsia" w:eastAsia="仿宋_GB2312"/>
          <w:color w:val="000000" w:themeColor="text1"/>
          <w:sz w:val="32"/>
          <w:szCs w:val="32"/>
          <w:u w:val="single" w:color="FFFFFF"/>
          <w:shd w:val="clear" w:color="auto" w:fill="FFFFFF"/>
          <w14:textFill>
            <w14:solidFill>
              <w14:schemeClr w14:val="tx1"/>
            </w14:solidFill>
          </w14:textFill>
        </w:rPr>
      </w:pPr>
      <w:r>
        <w:rPr>
          <w:rFonts w:eastAsia="仿宋_GB2312"/>
          <w:color w:val="000000" w:themeColor="text1"/>
          <w:sz w:val="32"/>
          <w:szCs w:val="32"/>
          <w:u w:val="single" w:color="FFFFFF"/>
          <w:shd w:val="clear" w:color="auto" w:fill="FFFFFF"/>
          <w14:textFill>
            <w14:solidFill>
              <w14:schemeClr w14:val="tx1"/>
            </w14:solidFill>
          </w14:textFill>
        </w:rPr>
        <w:t>(四）财务初审。市产投集团对通过技术评审的</w:t>
      </w:r>
      <w:r>
        <w:rPr>
          <w:rFonts w:eastAsia="仿宋_GB2312"/>
          <w:color w:val="000000" w:themeColor="text1"/>
          <w:sz w:val="32"/>
          <w:szCs w:val="32"/>
          <w:shd w:val="clear" w:color="auto" w:fill="FFFFFF"/>
          <w14:textFill>
            <w14:solidFill>
              <w14:schemeClr w14:val="tx1"/>
            </w14:solidFill>
          </w14:textFill>
        </w:rPr>
        <w:t>科技人才</w:t>
      </w:r>
      <w:r>
        <w:rPr>
          <w:rFonts w:eastAsia="仿宋_GB2312"/>
          <w:color w:val="000000" w:themeColor="text1"/>
          <w:sz w:val="32"/>
          <w:szCs w:val="32"/>
          <w:u w:val="single" w:color="FFFFFF"/>
          <w:shd w:val="clear" w:color="auto" w:fill="FFFFFF"/>
          <w14:textFill>
            <w14:solidFill>
              <w14:schemeClr w14:val="tx1"/>
            </w14:solidFill>
          </w14:textFill>
        </w:rPr>
        <w:t>团队的财务及成长性等情况进行初评，形成初审意见。</w:t>
      </w:r>
    </w:p>
    <w:p>
      <w:pPr>
        <w:pStyle w:val="14"/>
        <w:shd w:val="clear" w:color="auto" w:fill="FFFFFF"/>
        <w:spacing w:before="0" w:beforeAutospacing="0" w:after="0" w:afterAutospacing="0" w:line="580" w:lineRule="exact"/>
        <w:ind w:firstLine="640" w:firstLineChars="200"/>
        <w:jc w:val="both"/>
        <w:rPr>
          <w:rFonts w:eastAsia="仿宋_GB2312"/>
          <w:color w:val="000000" w:themeColor="text1"/>
          <w:sz w:val="32"/>
          <w:szCs w:val="32"/>
          <w:u w:val="single" w:color="FFFFFF"/>
          <w:shd w:val="clear" w:color="auto" w:fill="FFFFFF"/>
          <w14:textFill>
            <w14:solidFill>
              <w14:schemeClr w14:val="tx1"/>
            </w14:solidFill>
          </w14:textFill>
        </w:rPr>
      </w:pPr>
      <w:r>
        <w:rPr>
          <w:rFonts w:eastAsia="仿宋_GB2312"/>
          <w:color w:val="000000" w:themeColor="text1"/>
          <w:sz w:val="32"/>
          <w:szCs w:val="32"/>
          <w:u w:val="single" w:color="FFFFFF"/>
          <w:shd w:val="clear" w:color="auto" w:fill="FFFFFF"/>
          <w14:textFill>
            <w14:solidFill>
              <w14:schemeClr w14:val="tx1"/>
            </w14:solidFill>
          </w14:textFill>
        </w:rPr>
        <w:t>（五）推荐上报。市科技局依据技术评审意见和市产投集团</w:t>
      </w:r>
      <w:r>
        <w:rPr>
          <w:rFonts w:eastAsia="仿宋_GB2312"/>
          <w:bCs/>
          <w:color w:val="000000" w:themeColor="text1"/>
          <w:sz w:val="32"/>
          <w:szCs w:val="32"/>
          <w:u w:val="single" w:color="FFFFFF"/>
          <w:shd w:val="clear" w:color="auto" w:fill="FFFFFF"/>
          <w14:textFill>
            <w14:solidFill>
              <w14:schemeClr w14:val="tx1"/>
            </w14:solidFill>
          </w14:textFill>
        </w:rPr>
        <w:t>初审意见，</w:t>
      </w:r>
      <w:r>
        <w:rPr>
          <w:rFonts w:eastAsia="仿宋_GB2312"/>
          <w:bCs/>
          <w:color w:val="000000" w:themeColor="text1"/>
          <w:sz w:val="32"/>
          <w:szCs w:val="32"/>
          <w:shd w:val="clear" w:color="auto" w:fill="FFFFFF"/>
          <w14:textFill>
            <w14:solidFill>
              <w14:schemeClr w14:val="tx1"/>
            </w14:solidFill>
          </w14:textFill>
        </w:rPr>
        <w:t>出具扶持意见</w:t>
      </w:r>
      <w:r>
        <w:rPr>
          <w:rFonts w:eastAsia="仿宋_GB2312"/>
          <w:color w:val="000000" w:themeColor="text1"/>
          <w:sz w:val="32"/>
          <w:szCs w:val="32"/>
          <w:shd w:val="clear" w:color="auto" w:fill="FFFFFF"/>
          <w14:textFill>
            <w14:solidFill>
              <w14:schemeClr w14:val="tx1"/>
            </w14:solidFill>
          </w14:textFill>
        </w:rPr>
        <w:t>报市政府同意，确定扶持定科技人才团队。</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u w:val="single" w:color="FFFFFF"/>
          <w:shd w:val="clear" w:color="auto" w:fill="FFFFFF"/>
          <w14:textFill>
            <w14:solidFill>
              <w14:schemeClr w14:val="tx1"/>
            </w14:solidFill>
          </w14:textFill>
        </w:rPr>
        <w:t>（六）投资支持。</w:t>
      </w:r>
      <w:r>
        <w:rPr>
          <w:rFonts w:eastAsia="仿宋_GB2312"/>
          <w:color w:val="000000" w:themeColor="text1"/>
          <w:sz w:val="32"/>
          <w:szCs w:val="32"/>
          <w:shd w:val="clear" w:color="auto" w:fill="FFFFFF"/>
          <w14:textFill>
            <w14:solidFill>
              <w14:schemeClr w14:val="tx1"/>
            </w14:solidFill>
          </w14:textFill>
        </w:rPr>
        <w:t>市产投集团开展尽职调查，与确定的科技人才团队签订股权投资协议或债权投入协议。</w:t>
      </w:r>
    </w:p>
    <w:p>
      <w:pPr>
        <w:widowControl/>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 xml:space="preserve">第十条 </w:t>
      </w:r>
      <w:r>
        <w:rPr>
          <w:rFonts w:eastAsia="仿宋_GB2312"/>
          <w:color w:val="000000" w:themeColor="text1"/>
          <w:sz w:val="32"/>
          <w:szCs w:val="32"/>
          <w:shd w:val="clear" w:color="auto" w:fill="FFFFFF"/>
          <w14:textFill>
            <w14:solidFill>
              <w14:schemeClr w14:val="tx1"/>
            </w14:solidFill>
          </w14:textFill>
        </w:rPr>
        <w:t>市产投集团选择股权投资的，由科技人才团队所创设的公司与市产投集团签订5年期以内（含5年）股权投资协议；市产投集团选择债权投入的，</w:t>
      </w:r>
      <w:r>
        <w:rPr>
          <w:rFonts w:eastAsia="仿宋_GB2312"/>
          <w:color w:val="000000" w:themeColor="text1"/>
          <w:kern w:val="0"/>
          <w:sz w:val="32"/>
          <w:szCs w:val="32"/>
          <w14:textFill>
            <w14:solidFill>
              <w14:schemeClr w14:val="tx1"/>
            </w14:solidFill>
          </w14:textFill>
        </w:rPr>
        <w:t>由科技人才团队所创设的公司提供经评估的实物资产等值抵押后，</w:t>
      </w:r>
      <w:r>
        <w:rPr>
          <w:rFonts w:eastAsia="仿宋_GB2312"/>
          <w:color w:val="000000" w:themeColor="text1"/>
          <w:sz w:val="32"/>
          <w:szCs w:val="32"/>
          <w:shd w:val="clear" w:color="auto" w:fill="FFFFFF"/>
          <w14:textFill>
            <w14:solidFill>
              <w14:schemeClr w14:val="tx1"/>
            </w14:solidFill>
          </w14:textFill>
        </w:rPr>
        <w:t>与市产投集团签订5年期以内（含5年）债权协议，利率由双方协商确定。扶持资金仅限且只能用于公司研发和生产。</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第十一条</w:t>
      </w:r>
      <w:r>
        <w:rPr>
          <w:rFonts w:eastAsia="仿宋_GB2312"/>
          <w:color w:val="000000" w:themeColor="text1"/>
          <w:sz w:val="32"/>
          <w:szCs w:val="32"/>
          <w:shd w:val="clear" w:color="auto" w:fill="FFFFFF"/>
          <w14:textFill>
            <w14:solidFill>
              <w14:schemeClr w14:val="tx1"/>
            </w14:solidFill>
          </w14:textFill>
        </w:rPr>
        <w:t xml:space="preserve"> 扶持资金奖励形式主要包括上市奖励、业绩奖励和回购奖励。</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pacing w:val="7"/>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一）上市奖励。科技人才团队所创设公司自协议签订之日起60个月内（含60个月）在国内主板、中小板、创业板或香港交易所、纽约证券交易所、纳斯达克证券交易所等全球重要交易场所成功上市（以正式发行之日为准），</w:t>
      </w:r>
      <w:r>
        <w:rPr>
          <w:rFonts w:eastAsia="仿宋_GB2312"/>
          <w:color w:val="000000" w:themeColor="text1"/>
          <w:spacing w:val="7"/>
          <w:sz w:val="32"/>
          <w:szCs w:val="32"/>
          <w14:textFill>
            <w14:solidFill>
              <w14:schemeClr w14:val="tx1"/>
            </w14:solidFill>
          </w14:textFill>
        </w:rPr>
        <w:t>市扶持资金所形成权益的70%奖励给科技团队。5年内在“新三板”挂牌的，奖励市扶持资金在企业中所占股份的30%。</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二）业绩奖励。自协议签订之日起连续5个会计年度内（含5年），科技人才团队所创设公司累计实际缴纳税金（不含土地使用税）达到扶持资金出资总额，由市财政奖励扶持资金所形成权益总额的30%，在此基础上，实际缴纳税金（不含土地使用税）每增加20%，奖励增加10%，直至达到100%。</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三）回购奖励。自协议签订之日起60个月内（含60个月），经市产投集团同意，科技人才团队有权在支付资金使用成本后，回购市扶持资金形成的股权和债权。资金使用成本指按照市扶持资金出资总额和还款时(以回购协议签署之日为准)，双方投资协议中约定的回购利率计算的资金。</w:t>
      </w:r>
    </w:p>
    <w:p>
      <w:pPr>
        <w:pStyle w:val="14"/>
        <w:widowControl/>
        <w:shd w:val="clear" w:color="auto" w:fill="FFFFFF"/>
        <w:spacing w:before="0" w:beforeAutospacing="0" w:after="0" w:afterAutospacing="0" w:line="580" w:lineRule="exact"/>
        <w:ind w:firstLine="643" w:firstLineChars="200"/>
        <w:jc w:val="both"/>
        <w:rPr>
          <w:rFonts w:eastAsia="仿宋_GB2312"/>
          <w:i/>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第十二条</w:t>
      </w:r>
      <w:r>
        <w:rPr>
          <w:rFonts w:eastAsia="仿宋_GB2312"/>
          <w:color w:val="000000" w:themeColor="text1"/>
          <w:sz w:val="32"/>
          <w:szCs w:val="32"/>
          <w:shd w:val="clear" w:color="auto" w:fill="FFFFFF"/>
          <w14:textFill>
            <w14:solidFill>
              <w14:schemeClr w14:val="tx1"/>
            </w14:solidFill>
          </w14:textFill>
        </w:rPr>
        <w:t xml:space="preserve"> 科技人才团队在协议签订之日起60个月内（含60个月）完成协议约定任务的给予奖励，未完成协议约定任务不予奖励，按照协议约定结算方式清算。</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 xml:space="preserve">第十三条 </w:t>
      </w:r>
      <w:r>
        <w:rPr>
          <w:rFonts w:eastAsia="仿宋_GB2312"/>
          <w:color w:val="000000" w:themeColor="text1"/>
          <w:sz w:val="32"/>
          <w:szCs w:val="32"/>
          <w:shd w:val="clear" w:color="auto" w:fill="FFFFFF"/>
          <w14:textFill>
            <w14:solidFill>
              <w14:schemeClr w14:val="tx1"/>
            </w14:solidFill>
          </w14:textFill>
        </w:rPr>
        <w:t>对上述上市奖励、业绩奖励、回购奖励，科技人才团队可任选一种奖励方式。选择期限最迟不得超过扶持资金到位之日后的 60 个月。</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科技人才团队符合本细则及相关规定的条件下，按照要求完成申报材料。</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（一）申请上市奖励和业绩奖励。由市科技局组织相关机构进行审计评价，根据科技人才团队所创设公司业绩完成情况，按照本细则第十一条（一）、（二）款办理政策兑现；</w:t>
      </w:r>
    </w:p>
    <w:p>
      <w:pPr>
        <w:pStyle w:val="14"/>
        <w:widowControl/>
        <w:shd w:val="clear" w:color="auto" w:fill="FFFFFF"/>
        <w:spacing w:before="0" w:beforeAutospacing="0" w:after="0" w:afterAutospacing="0" w:line="58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（二）申请回购奖励。由科技人才团队直接向市产投集团提出申请，按照本细则第十一条（三）款办理，并报市科技局备案；</w:t>
      </w:r>
    </w:p>
    <w:p>
      <w:pPr>
        <w:pStyle w:val="14"/>
        <w:shd w:val="clear" w:color="auto" w:fill="FFFFFF"/>
        <w:spacing w:before="0" w:beforeAutospacing="0" w:after="0" w:afterAutospacing="0" w:line="580" w:lineRule="exact"/>
        <w:ind w:firstLine="640" w:firstLineChars="200"/>
        <w:jc w:val="both"/>
        <w:rPr>
          <w:rFonts w:hint="eastAsia"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（三）以上奖励政策不允许同时享受。但对拟申报上市奖励的科技人才团队，允许科技人才团队</w:t>
      </w:r>
      <w:r>
        <w:rPr>
          <w:rFonts w:eastAsia="仿宋_GB2312"/>
          <w:bCs/>
          <w:color w:val="000000" w:themeColor="text1"/>
          <w:sz w:val="32"/>
          <w:szCs w:val="32"/>
          <w:shd w:val="clear" w:color="auto" w:fill="FFFFFF"/>
          <w14:textFill>
            <w14:solidFill>
              <w14:schemeClr w14:val="tx1"/>
            </w14:solidFill>
          </w14:textFill>
        </w:rPr>
        <w:t>先申请执行部分股权的回购奖励，</w:t>
      </w:r>
      <w:r>
        <w:rPr>
          <w:rFonts w:eastAsia="仿宋_GB2312"/>
          <w:color w:val="000000" w:themeColor="text1"/>
          <w:sz w:val="32"/>
          <w:szCs w:val="32"/>
          <w:shd w:val="clear" w:color="auto" w:fill="FFFFFF"/>
          <w14:textFill>
            <w14:solidFill>
              <w14:schemeClr w14:val="tx1"/>
            </w14:solidFill>
          </w14:textFill>
        </w:rPr>
        <w:t>再申请兑现上市奖励。如果市扶持资金所持有的股权在上市前被科技人才团队所创设的公司全部回购的，则科技人才团队不能再享受上市奖励。</w:t>
      </w:r>
    </w:p>
    <w:p>
      <w:pPr>
        <w:pStyle w:val="14"/>
        <w:shd w:val="clear" w:color="auto" w:fill="FFFFFF"/>
        <w:spacing w:before="0" w:beforeAutospacing="0" w:after="0" w:afterAutospacing="0" w:line="580" w:lineRule="exact"/>
        <w:ind w:firstLine="643" w:firstLineChars="200"/>
        <w:jc w:val="both"/>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第十四条</w:t>
      </w:r>
      <w:r>
        <w:rPr>
          <w:rFonts w:eastAsia="仿宋_GB2312"/>
          <w:color w:val="000000" w:themeColor="text1"/>
          <w:sz w:val="32"/>
          <w:szCs w:val="32"/>
          <w:shd w:val="clear" w:color="auto" w:fill="FFFFFF"/>
          <w14:textFill>
            <w14:solidFill>
              <w14:schemeClr w14:val="tx1"/>
            </w14:solidFill>
          </w14:textFill>
        </w:rPr>
        <w:t xml:space="preserve"> 奖励政策期满但科技人才团队所创设公司未达到奖励标准，市产投集团有权按协议约定收回所有投资和增值收益。科技人才团队所创设公司因经营不善等原因破产的，按照《中华人民共和国公司法》、《中华人民共和国企业破产法》等相关法律法规进行清算。市扶持资金是以债权形式投入的，应优先清偿。</w:t>
      </w:r>
    </w:p>
    <w:p>
      <w:pPr>
        <w:pStyle w:val="14"/>
        <w:widowControl/>
        <w:shd w:val="clear" w:color="auto" w:fill="FFFFFF"/>
        <w:spacing w:before="0" w:beforeAutospacing="0" w:after="0" w:afterAutospacing="0" w:line="580" w:lineRule="exact"/>
        <w:ind w:firstLine="643" w:firstLineChars="200"/>
        <w:jc w:val="both"/>
        <w:rPr>
          <w:rFonts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第十五条</w:t>
      </w:r>
      <w:r>
        <w:rPr>
          <w:rFonts w:eastAsia="仿宋_GB2312"/>
          <w:color w:val="000000" w:themeColor="text1"/>
          <w:sz w:val="32"/>
          <w:szCs w:val="32"/>
          <w:shd w:val="clear" w:color="auto" w:fill="FFFFFF"/>
          <w14:textFill>
            <w14:solidFill>
              <w14:schemeClr w14:val="tx1"/>
            </w14:solidFill>
          </w14:textFill>
        </w:rPr>
        <w:t xml:space="preserve"> 科技人才团队必须提供真实、有效的申请材料，所在县区要严格把关，对弄虚作假骗取市扶持资金的，一经发现全部予以收回，并按照有关规定对责任单位、申报单位及相关责任人给予严肃处理。</w:t>
      </w:r>
    </w:p>
    <w:p>
      <w:pPr>
        <w:pStyle w:val="14"/>
        <w:shd w:val="clear" w:color="auto" w:fill="FFFFFF"/>
        <w:spacing w:before="0" w:beforeAutospacing="0" w:after="0" w:afterAutospacing="0" w:line="580" w:lineRule="exact"/>
        <w:ind w:firstLine="643" w:firstLineChars="200"/>
        <w:jc w:val="both"/>
        <w:rPr>
          <w:rFonts w:hint="eastAsia" w:eastAsia="仿宋_GB2312"/>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第十六条</w:t>
      </w:r>
      <w:r>
        <w:rPr>
          <w:rFonts w:eastAsia="仿宋_GB2312"/>
          <w:color w:val="000000" w:themeColor="text1"/>
          <w:sz w:val="32"/>
          <w:szCs w:val="32"/>
          <w:shd w:val="clear" w:color="auto" w:fill="FFFFFF"/>
          <w14:textFill>
            <w14:solidFill>
              <w14:schemeClr w14:val="tx1"/>
            </w14:solidFill>
          </w14:textFill>
        </w:rPr>
        <w:t xml:space="preserve"> 市科技局负责科技人才团队招引工作协调督查和技术先进性评审工作；市财政局（市政府国有资产监督管理委员会，以下简称市财政局）负责资金保障和监督</w:t>
      </w:r>
      <w:r>
        <w:rPr>
          <w:rFonts w:eastAsia="仿宋_GB2312"/>
          <w:b/>
          <w:color w:val="000000" w:themeColor="text1"/>
          <w:sz w:val="32"/>
          <w:szCs w:val="32"/>
          <w:shd w:val="clear" w:color="auto" w:fill="FFFFFF"/>
          <w14:textFill>
            <w14:solidFill>
              <w14:schemeClr w14:val="tx1"/>
            </w14:solidFill>
          </w14:textFill>
        </w:rPr>
        <w:t>，</w:t>
      </w:r>
      <w:r>
        <w:rPr>
          <w:rFonts w:eastAsia="仿宋_GB2312"/>
          <w:bCs/>
          <w:color w:val="000000" w:themeColor="text1"/>
          <w:sz w:val="32"/>
          <w:szCs w:val="32"/>
          <w:shd w:val="clear" w:color="auto" w:fill="FFFFFF"/>
          <w14:textFill>
            <w14:solidFill>
              <w14:schemeClr w14:val="tx1"/>
            </w14:solidFill>
          </w14:textFill>
        </w:rPr>
        <w:t>拨付市产投集团股权或债权投资协议确定的扶持资金；</w:t>
      </w:r>
      <w:r>
        <w:rPr>
          <w:rFonts w:eastAsia="仿宋_GB2312"/>
          <w:color w:val="000000" w:themeColor="text1"/>
          <w:sz w:val="32"/>
          <w:szCs w:val="32"/>
          <w:shd w:val="clear" w:color="auto" w:fill="FFFFFF"/>
          <w14:textFill>
            <w14:solidFill>
              <w14:schemeClr w14:val="tx1"/>
            </w14:solidFill>
          </w14:textFill>
        </w:rPr>
        <w:t>市委人才办等市直各有关部门根据各自职能做好科技人才团队服务工作；市产投集团负责尽职调查和投资的相关工作；县区负责招引和落地服务工作，在资金、土地供给、基础设施配套、工作和生活场所提供等方面给予支持，为科技人才团队成员配偶就业、子女就学提供支持。</w:t>
      </w:r>
    </w:p>
    <w:p>
      <w:pPr>
        <w:pStyle w:val="14"/>
        <w:shd w:val="clear" w:color="auto" w:fill="FFFFFF"/>
        <w:spacing w:before="0" w:beforeAutospacing="0" w:after="0" w:afterAutospacing="0" w:line="560" w:lineRule="exact"/>
        <w:ind w:firstLine="643" w:firstLineChars="200"/>
        <w:jc w:val="both"/>
        <w:rPr>
          <w:rFonts w:eastAsia="仿宋_GB2312"/>
          <w:color w:val="000000" w:themeColor="text1"/>
          <w:kern w:val="2"/>
          <w:sz w:val="32"/>
          <w:szCs w:val="32"/>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第十七条</w:t>
      </w:r>
      <w:r>
        <w:rPr>
          <w:rFonts w:eastAsia="仿宋_GB2312"/>
          <w:color w:val="000000" w:themeColor="text1"/>
          <w:sz w:val="32"/>
          <w:szCs w:val="32"/>
          <w:shd w:val="clear" w:color="auto" w:fill="FFFFFF"/>
          <w14:textFill>
            <w14:solidFill>
              <w14:schemeClr w14:val="tx1"/>
            </w14:solidFill>
          </w14:textFill>
        </w:rPr>
        <w:t xml:space="preserve"> 参照省政府《创业安徽行动方案》（皖政〔2022〕63号），科技人才团队投资失败容忍率最高可达80%，不以单一项目的盈亏作为考核评价依据。</w:t>
      </w:r>
      <w:r>
        <w:rPr>
          <w:rFonts w:eastAsia="仿宋_GB2312"/>
          <w:color w:val="000000" w:themeColor="text1"/>
          <w:kern w:val="2"/>
          <w:sz w:val="32"/>
          <w:szCs w:val="32"/>
          <w14:textFill>
            <w14:solidFill>
              <w14:schemeClr w14:val="tx1"/>
            </w14:solidFill>
          </w14:textFill>
        </w:rPr>
        <w:t>相关单位和人员尽到审慎尽职义务，</w:t>
      </w:r>
      <w:r>
        <w:rPr>
          <w:rFonts w:eastAsia="仿宋_GB2312"/>
          <w:color w:val="000000" w:themeColor="text1"/>
          <w:sz w:val="32"/>
          <w:szCs w:val="32"/>
          <w:shd w:val="clear" w:color="auto" w:fill="FFFFFF"/>
          <w14:textFill>
            <w14:solidFill>
              <w14:schemeClr w14:val="tx1"/>
            </w14:solidFill>
          </w14:textFill>
        </w:rPr>
        <w:t>可</w:t>
      </w:r>
      <w:r>
        <w:rPr>
          <w:rFonts w:eastAsia="仿宋_GB2312"/>
          <w:color w:val="000000" w:themeColor="text1"/>
          <w:kern w:val="2"/>
          <w:sz w:val="32"/>
          <w:szCs w:val="32"/>
          <w14:textFill>
            <w14:solidFill>
              <w14:schemeClr w14:val="tx1"/>
            </w14:solidFill>
          </w14:textFill>
        </w:rPr>
        <w:t>免除责任追究。若投资失败或产生投资损失，由市财政按照市产投集团实际投资支出以及必要融资成本的30%，拨付给市产投集团。</w:t>
      </w:r>
    </w:p>
    <w:p>
      <w:pPr>
        <w:pStyle w:val="14"/>
        <w:widowControl/>
        <w:shd w:val="clear" w:color="auto" w:fill="FFFFFF"/>
        <w:spacing w:before="0" w:beforeAutospacing="0" w:after="0" w:afterAutospacing="0" w:line="580" w:lineRule="exact"/>
        <w:ind w:firstLine="643" w:firstLineChars="200"/>
        <w:jc w:val="both"/>
        <w:rPr>
          <w:rFonts w:eastAsia="仿宋"/>
          <w:color w:val="000000" w:themeColor="text1"/>
          <w:sz w:val="32"/>
          <w:szCs w:val="32"/>
          <w:shd w:val="clear" w:color="auto" w:fill="FFFFFF"/>
          <w14:textFill>
            <w14:solidFill>
              <w14:schemeClr w14:val="tx1"/>
            </w14:solidFill>
          </w14:textFill>
        </w:rPr>
      </w:pPr>
      <w:r>
        <w:rPr>
          <w:rFonts w:eastAsia="仿宋_GB2312"/>
          <w:b/>
          <w:bCs/>
          <w:color w:val="000000" w:themeColor="text1"/>
          <w:sz w:val="32"/>
          <w:szCs w:val="32"/>
          <w:shd w:val="clear" w:color="auto" w:fill="FFFFFF"/>
          <w14:textFill>
            <w14:solidFill>
              <w14:schemeClr w14:val="tx1"/>
            </w14:solidFill>
          </w14:textFill>
        </w:rPr>
        <w:t xml:space="preserve">第十八条 </w:t>
      </w:r>
      <w:r>
        <w:rPr>
          <w:rFonts w:eastAsia="仿宋_GB2312"/>
          <w:color w:val="000000" w:themeColor="text1"/>
          <w:sz w:val="32"/>
          <w:szCs w:val="32"/>
          <w:shd w:val="clear" w:color="auto" w:fill="FFFFFF"/>
          <w14:textFill>
            <w14:solidFill>
              <w14:schemeClr w14:val="tx1"/>
            </w14:solidFill>
          </w14:textFill>
        </w:rPr>
        <w:t>本细则由市科技局、市财政局共同解释，本细则自发布之日起施行。各县区根据本细则，结合各自实际制定具体实施细则。</w:t>
      </w:r>
    </w:p>
    <w:p>
      <w:pPr>
        <w:pStyle w:val="2"/>
        <w:rPr>
          <w:rFonts w:hint="eastAsia" w:ascii="方正仿宋_GBK" w:hAnsi="方正仿宋_GBK" w:eastAsia="方正仿宋_GBK" w:cs="方正仿宋_GBK"/>
          <w:sz w:val="32"/>
          <w:szCs w:val="32"/>
        </w:rPr>
      </w:pPr>
    </w:p>
    <w:p>
      <w:pPr>
        <w:pStyle w:val="2"/>
        <w:rPr>
          <w:rFonts w:hint="eastAsia"/>
        </w:rPr>
      </w:pPr>
    </w:p>
    <w:p>
      <w:pPr>
        <w:pStyle w:val="2"/>
        <w:rPr>
          <w:rFonts w:hint="eastAsia"/>
        </w:rPr>
      </w:pPr>
    </w:p>
    <w:p/>
    <w:p>
      <w:pPr>
        <w:rPr>
          <w:rFonts w:ascii="仿宋_GB2312" w:eastAsia="仿宋_GB2312"/>
          <w:kern w:val="0"/>
          <w:sz w:val="2"/>
          <w:szCs w:val="2"/>
        </w:rPr>
      </w:pPr>
    </w:p>
    <w:sectPr>
      <w:footerReference r:id="rId3" w:type="default"/>
      <w:footerReference r:id="rId4" w:type="even"/>
      <w:pgSz w:w="11906" w:h="16838"/>
      <w:pgMar w:top="1701" w:right="1418" w:bottom="1418" w:left="1701" w:header="851" w:footer="102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简粗黑">
    <w:altName w:val="方正黑体_GBK"/>
    <w:panose1 w:val="00000000000000000000"/>
    <w:charset w:val="00"/>
    <w:family w:val="auto"/>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9 -</w:t>
    </w:r>
    <w:r>
      <w:rPr>
        <w:rFonts w:asciiTheme="minorEastAsia" w:hAnsiTheme="minorEastAsia" w:eastAsiaTheme="minorEastAsia"/>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211843"/>
      <w:docPartObj>
        <w:docPartGallery w:val="autotext"/>
      </w:docPartObj>
    </w:sdtPr>
    <w:sdtContent>
      <w:p>
        <w:pPr>
          <w:pStyle w:val="2"/>
          <w:ind w:right="360"/>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8 -</w:t>
        </w:r>
        <w:r>
          <w:rPr>
            <w:rFonts w:asciiTheme="minorEastAsia" w:hAnsiTheme="minorEastAsia" w:eastAsiaTheme="minorEastAsia"/>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mirrorMargins w:val="1"/>
  <w:bordersDoNotSurroundHeader w:val="1"/>
  <w:bordersDoNotSurroundFooter w:val="1"/>
  <w:documentProtection w:enforcement="0"/>
  <w:defaultTabStop w:val="420"/>
  <w:evenAndOddHeaders w:val="1"/>
  <w:drawingGridHorizontalSpacing w:val="105"/>
  <w:drawingGridVerticalSpacing w:val="315"/>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0MzA1ODUxZjM3NTNiYjk4ZWQzZTQ4MjJlZjQyMWUifQ=="/>
  </w:docVars>
  <w:rsids>
    <w:rsidRoot w:val="00E03A36"/>
    <w:rsid w:val="00004EFC"/>
    <w:rsid w:val="00015D14"/>
    <w:rsid w:val="000162ED"/>
    <w:rsid w:val="0002539F"/>
    <w:rsid w:val="00025C59"/>
    <w:rsid w:val="0003237D"/>
    <w:rsid w:val="000361A9"/>
    <w:rsid w:val="00041485"/>
    <w:rsid w:val="00043E9D"/>
    <w:rsid w:val="00073952"/>
    <w:rsid w:val="00085C75"/>
    <w:rsid w:val="000871CA"/>
    <w:rsid w:val="00090F23"/>
    <w:rsid w:val="00095E98"/>
    <w:rsid w:val="000A63C0"/>
    <w:rsid w:val="000D6643"/>
    <w:rsid w:val="000E16AE"/>
    <w:rsid w:val="000E7EA7"/>
    <w:rsid w:val="000F6DEC"/>
    <w:rsid w:val="001029B1"/>
    <w:rsid w:val="00112C0E"/>
    <w:rsid w:val="001145B8"/>
    <w:rsid w:val="0011545A"/>
    <w:rsid w:val="0013521D"/>
    <w:rsid w:val="00142BCC"/>
    <w:rsid w:val="0014375A"/>
    <w:rsid w:val="0014461E"/>
    <w:rsid w:val="00150A40"/>
    <w:rsid w:val="0015142D"/>
    <w:rsid w:val="00151440"/>
    <w:rsid w:val="00152A09"/>
    <w:rsid w:val="00166A8B"/>
    <w:rsid w:val="00167CF5"/>
    <w:rsid w:val="001716D1"/>
    <w:rsid w:val="00172075"/>
    <w:rsid w:val="001725B2"/>
    <w:rsid w:val="00173077"/>
    <w:rsid w:val="00173932"/>
    <w:rsid w:val="001770D7"/>
    <w:rsid w:val="0018252A"/>
    <w:rsid w:val="00186EBF"/>
    <w:rsid w:val="0019034B"/>
    <w:rsid w:val="001910C5"/>
    <w:rsid w:val="001A1257"/>
    <w:rsid w:val="001A42F7"/>
    <w:rsid w:val="001B0608"/>
    <w:rsid w:val="001B639B"/>
    <w:rsid w:val="001C14C4"/>
    <w:rsid w:val="001C3F69"/>
    <w:rsid w:val="001D31C5"/>
    <w:rsid w:val="001D3F96"/>
    <w:rsid w:val="001D6859"/>
    <w:rsid w:val="001E45E7"/>
    <w:rsid w:val="001E575F"/>
    <w:rsid w:val="001E74AF"/>
    <w:rsid w:val="001F380E"/>
    <w:rsid w:val="001F5255"/>
    <w:rsid w:val="001F7B2B"/>
    <w:rsid w:val="0020731C"/>
    <w:rsid w:val="002130DB"/>
    <w:rsid w:val="00216936"/>
    <w:rsid w:val="00223458"/>
    <w:rsid w:val="00224881"/>
    <w:rsid w:val="00230E07"/>
    <w:rsid w:val="00231332"/>
    <w:rsid w:val="00233D48"/>
    <w:rsid w:val="002340D2"/>
    <w:rsid w:val="00236A18"/>
    <w:rsid w:val="00241911"/>
    <w:rsid w:val="002422F4"/>
    <w:rsid w:val="00242338"/>
    <w:rsid w:val="002437CD"/>
    <w:rsid w:val="00244217"/>
    <w:rsid w:val="002505BE"/>
    <w:rsid w:val="00253EBB"/>
    <w:rsid w:val="00261C4F"/>
    <w:rsid w:val="00267084"/>
    <w:rsid w:val="0027609A"/>
    <w:rsid w:val="00276B3E"/>
    <w:rsid w:val="00290D1C"/>
    <w:rsid w:val="002930C0"/>
    <w:rsid w:val="00295182"/>
    <w:rsid w:val="00297CE0"/>
    <w:rsid w:val="002A160B"/>
    <w:rsid w:val="002A4077"/>
    <w:rsid w:val="002C55E4"/>
    <w:rsid w:val="002C6801"/>
    <w:rsid w:val="002D023F"/>
    <w:rsid w:val="002D137C"/>
    <w:rsid w:val="002D4A56"/>
    <w:rsid w:val="002D549E"/>
    <w:rsid w:val="002E0785"/>
    <w:rsid w:val="002E1467"/>
    <w:rsid w:val="002E5C73"/>
    <w:rsid w:val="002E5F04"/>
    <w:rsid w:val="00304C0A"/>
    <w:rsid w:val="003075C4"/>
    <w:rsid w:val="00311FDB"/>
    <w:rsid w:val="00313105"/>
    <w:rsid w:val="0031782A"/>
    <w:rsid w:val="00321318"/>
    <w:rsid w:val="00325686"/>
    <w:rsid w:val="003323F5"/>
    <w:rsid w:val="00333CF5"/>
    <w:rsid w:val="00334B89"/>
    <w:rsid w:val="00345DCF"/>
    <w:rsid w:val="00347B85"/>
    <w:rsid w:val="00351819"/>
    <w:rsid w:val="003711A8"/>
    <w:rsid w:val="00377613"/>
    <w:rsid w:val="00382254"/>
    <w:rsid w:val="00387195"/>
    <w:rsid w:val="00390E06"/>
    <w:rsid w:val="003A56B6"/>
    <w:rsid w:val="003B1C7D"/>
    <w:rsid w:val="003C25C4"/>
    <w:rsid w:val="003C52CB"/>
    <w:rsid w:val="003E182F"/>
    <w:rsid w:val="003E2F6C"/>
    <w:rsid w:val="003E38C4"/>
    <w:rsid w:val="0040133C"/>
    <w:rsid w:val="00404FAA"/>
    <w:rsid w:val="00407149"/>
    <w:rsid w:val="0041045C"/>
    <w:rsid w:val="004126C1"/>
    <w:rsid w:val="00415842"/>
    <w:rsid w:val="0041724B"/>
    <w:rsid w:val="00431AAC"/>
    <w:rsid w:val="00432AB8"/>
    <w:rsid w:val="00433AB3"/>
    <w:rsid w:val="004566A4"/>
    <w:rsid w:val="00460495"/>
    <w:rsid w:val="00461F97"/>
    <w:rsid w:val="00464178"/>
    <w:rsid w:val="00476E68"/>
    <w:rsid w:val="004776DD"/>
    <w:rsid w:val="0048743E"/>
    <w:rsid w:val="00491AAD"/>
    <w:rsid w:val="004949BC"/>
    <w:rsid w:val="0049605E"/>
    <w:rsid w:val="004971D5"/>
    <w:rsid w:val="004A14AD"/>
    <w:rsid w:val="004A7C0D"/>
    <w:rsid w:val="004B0725"/>
    <w:rsid w:val="004C2535"/>
    <w:rsid w:val="004D33A6"/>
    <w:rsid w:val="004E07F3"/>
    <w:rsid w:val="004E4FFD"/>
    <w:rsid w:val="004F5AE1"/>
    <w:rsid w:val="00500FE4"/>
    <w:rsid w:val="005049E7"/>
    <w:rsid w:val="005067B6"/>
    <w:rsid w:val="0051449F"/>
    <w:rsid w:val="00515C13"/>
    <w:rsid w:val="0052029C"/>
    <w:rsid w:val="005219C6"/>
    <w:rsid w:val="0052311B"/>
    <w:rsid w:val="00523546"/>
    <w:rsid w:val="00530D67"/>
    <w:rsid w:val="00532B62"/>
    <w:rsid w:val="00534E04"/>
    <w:rsid w:val="005359EF"/>
    <w:rsid w:val="005376A6"/>
    <w:rsid w:val="005378E6"/>
    <w:rsid w:val="00544D79"/>
    <w:rsid w:val="00545A71"/>
    <w:rsid w:val="0056177D"/>
    <w:rsid w:val="00564E1F"/>
    <w:rsid w:val="005654B0"/>
    <w:rsid w:val="0056756B"/>
    <w:rsid w:val="00572733"/>
    <w:rsid w:val="00576DE1"/>
    <w:rsid w:val="00582552"/>
    <w:rsid w:val="00590797"/>
    <w:rsid w:val="00591457"/>
    <w:rsid w:val="00592792"/>
    <w:rsid w:val="00595A5C"/>
    <w:rsid w:val="005A1DBC"/>
    <w:rsid w:val="005A60F6"/>
    <w:rsid w:val="005A635A"/>
    <w:rsid w:val="005A71E9"/>
    <w:rsid w:val="005B2849"/>
    <w:rsid w:val="005B3E21"/>
    <w:rsid w:val="005B553B"/>
    <w:rsid w:val="005B5911"/>
    <w:rsid w:val="005B6349"/>
    <w:rsid w:val="005C2E82"/>
    <w:rsid w:val="005D5A89"/>
    <w:rsid w:val="005E1FDE"/>
    <w:rsid w:val="005E62C8"/>
    <w:rsid w:val="00614259"/>
    <w:rsid w:val="00625CA3"/>
    <w:rsid w:val="00635370"/>
    <w:rsid w:val="00642E87"/>
    <w:rsid w:val="0064620C"/>
    <w:rsid w:val="006476F4"/>
    <w:rsid w:val="00652F82"/>
    <w:rsid w:val="006548E4"/>
    <w:rsid w:val="00656D35"/>
    <w:rsid w:val="006640AF"/>
    <w:rsid w:val="006666F7"/>
    <w:rsid w:val="00670EE8"/>
    <w:rsid w:val="006731BF"/>
    <w:rsid w:val="0067435A"/>
    <w:rsid w:val="00680AD1"/>
    <w:rsid w:val="006824F8"/>
    <w:rsid w:val="006827EF"/>
    <w:rsid w:val="0068292B"/>
    <w:rsid w:val="006917BC"/>
    <w:rsid w:val="006969EF"/>
    <w:rsid w:val="006A1B14"/>
    <w:rsid w:val="006A4750"/>
    <w:rsid w:val="006B2DD4"/>
    <w:rsid w:val="006B62BF"/>
    <w:rsid w:val="006C4644"/>
    <w:rsid w:val="006D37B1"/>
    <w:rsid w:val="006E1ECB"/>
    <w:rsid w:val="006E2728"/>
    <w:rsid w:val="006E3980"/>
    <w:rsid w:val="006F2509"/>
    <w:rsid w:val="006F4A99"/>
    <w:rsid w:val="006F532B"/>
    <w:rsid w:val="006F7807"/>
    <w:rsid w:val="00720FAC"/>
    <w:rsid w:val="00732015"/>
    <w:rsid w:val="00733D36"/>
    <w:rsid w:val="00735FF5"/>
    <w:rsid w:val="0074694B"/>
    <w:rsid w:val="0075385B"/>
    <w:rsid w:val="00755616"/>
    <w:rsid w:val="007701E5"/>
    <w:rsid w:val="00774679"/>
    <w:rsid w:val="00780305"/>
    <w:rsid w:val="007820AD"/>
    <w:rsid w:val="00782908"/>
    <w:rsid w:val="00787CA4"/>
    <w:rsid w:val="007903CC"/>
    <w:rsid w:val="007914D9"/>
    <w:rsid w:val="007A4200"/>
    <w:rsid w:val="007A789E"/>
    <w:rsid w:val="007C0E28"/>
    <w:rsid w:val="007C5248"/>
    <w:rsid w:val="00803002"/>
    <w:rsid w:val="008103BB"/>
    <w:rsid w:val="008111A6"/>
    <w:rsid w:val="00821C21"/>
    <w:rsid w:val="00821DD2"/>
    <w:rsid w:val="008264BD"/>
    <w:rsid w:val="0083470C"/>
    <w:rsid w:val="00834927"/>
    <w:rsid w:val="00851FAC"/>
    <w:rsid w:val="0085558F"/>
    <w:rsid w:val="00865725"/>
    <w:rsid w:val="00874F8E"/>
    <w:rsid w:val="008771A9"/>
    <w:rsid w:val="008774F5"/>
    <w:rsid w:val="008778FE"/>
    <w:rsid w:val="00877B2F"/>
    <w:rsid w:val="008816D1"/>
    <w:rsid w:val="0088239B"/>
    <w:rsid w:val="008845D9"/>
    <w:rsid w:val="008906DB"/>
    <w:rsid w:val="008A2A1A"/>
    <w:rsid w:val="008A559A"/>
    <w:rsid w:val="008A6171"/>
    <w:rsid w:val="008C0C5F"/>
    <w:rsid w:val="008C37AD"/>
    <w:rsid w:val="008D3291"/>
    <w:rsid w:val="008E03E9"/>
    <w:rsid w:val="008E10FC"/>
    <w:rsid w:val="008F01B8"/>
    <w:rsid w:val="008F353D"/>
    <w:rsid w:val="008F3CC8"/>
    <w:rsid w:val="008F5CDD"/>
    <w:rsid w:val="008F6F97"/>
    <w:rsid w:val="00900827"/>
    <w:rsid w:val="00911555"/>
    <w:rsid w:val="00912707"/>
    <w:rsid w:val="00912ACE"/>
    <w:rsid w:val="00915500"/>
    <w:rsid w:val="00923BB8"/>
    <w:rsid w:val="0092568B"/>
    <w:rsid w:val="009316D6"/>
    <w:rsid w:val="009331DC"/>
    <w:rsid w:val="00937D2F"/>
    <w:rsid w:val="00937F00"/>
    <w:rsid w:val="0094120B"/>
    <w:rsid w:val="0095229C"/>
    <w:rsid w:val="00961907"/>
    <w:rsid w:val="00962289"/>
    <w:rsid w:val="009639DD"/>
    <w:rsid w:val="00963AA8"/>
    <w:rsid w:val="009710D6"/>
    <w:rsid w:val="00976F72"/>
    <w:rsid w:val="0098182E"/>
    <w:rsid w:val="00983109"/>
    <w:rsid w:val="00985835"/>
    <w:rsid w:val="0098616A"/>
    <w:rsid w:val="009915F9"/>
    <w:rsid w:val="00995A3A"/>
    <w:rsid w:val="009A006B"/>
    <w:rsid w:val="009A4961"/>
    <w:rsid w:val="009B375A"/>
    <w:rsid w:val="009B6D60"/>
    <w:rsid w:val="009C08F5"/>
    <w:rsid w:val="009C1160"/>
    <w:rsid w:val="009C1271"/>
    <w:rsid w:val="009D0DD9"/>
    <w:rsid w:val="009D1122"/>
    <w:rsid w:val="009D4C58"/>
    <w:rsid w:val="009D53B4"/>
    <w:rsid w:val="009D58EB"/>
    <w:rsid w:val="009D6792"/>
    <w:rsid w:val="009E17A9"/>
    <w:rsid w:val="009F27C2"/>
    <w:rsid w:val="00A010FF"/>
    <w:rsid w:val="00A135B1"/>
    <w:rsid w:val="00A16C25"/>
    <w:rsid w:val="00A219E5"/>
    <w:rsid w:val="00A262C4"/>
    <w:rsid w:val="00A26D62"/>
    <w:rsid w:val="00A27EB7"/>
    <w:rsid w:val="00A304DA"/>
    <w:rsid w:val="00A320B8"/>
    <w:rsid w:val="00A36F89"/>
    <w:rsid w:val="00A37BE5"/>
    <w:rsid w:val="00A37CF7"/>
    <w:rsid w:val="00A46D4B"/>
    <w:rsid w:val="00A54DE8"/>
    <w:rsid w:val="00A55168"/>
    <w:rsid w:val="00A57903"/>
    <w:rsid w:val="00A6291F"/>
    <w:rsid w:val="00A64BB2"/>
    <w:rsid w:val="00A7181D"/>
    <w:rsid w:val="00A74CB5"/>
    <w:rsid w:val="00A81891"/>
    <w:rsid w:val="00A82EB9"/>
    <w:rsid w:val="00A83392"/>
    <w:rsid w:val="00A956C4"/>
    <w:rsid w:val="00AA04D6"/>
    <w:rsid w:val="00AA577B"/>
    <w:rsid w:val="00AA7ADE"/>
    <w:rsid w:val="00AB3617"/>
    <w:rsid w:val="00AB45BC"/>
    <w:rsid w:val="00AC4A0A"/>
    <w:rsid w:val="00AD3342"/>
    <w:rsid w:val="00AE39D6"/>
    <w:rsid w:val="00AE7DFB"/>
    <w:rsid w:val="00AF3903"/>
    <w:rsid w:val="00AF4971"/>
    <w:rsid w:val="00B14244"/>
    <w:rsid w:val="00B1627B"/>
    <w:rsid w:val="00B25FC6"/>
    <w:rsid w:val="00B26CAD"/>
    <w:rsid w:val="00B27D89"/>
    <w:rsid w:val="00B3022E"/>
    <w:rsid w:val="00B3438B"/>
    <w:rsid w:val="00B431C5"/>
    <w:rsid w:val="00B50F44"/>
    <w:rsid w:val="00B601E9"/>
    <w:rsid w:val="00B6286D"/>
    <w:rsid w:val="00B768FA"/>
    <w:rsid w:val="00B76BA9"/>
    <w:rsid w:val="00B82312"/>
    <w:rsid w:val="00B85534"/>
    <w:rsid w:val="00BA0DA9"/>
    <w:rsid w:val="00BA225B"/>
    <w:rsid w:val="00BA4CB0"/>
    <w:rsid w:val="00BA7F64"/>
    <w:rsid w:val="00BB64CA"/>
    <w:rsid w:val="00BC1794"/>
    <w:rsid w:val="00BC1DD9"/>
    <w:rsid w:val="00BC601E"/>
    <w:rsid w:val="00BD4AAB"/>
    <w:rsid w:val="00BE105B"/>
    <w:rsid w:val="00BE677C"/>
    <w:rsid w:val="00BF0199"/>
    <w:rsid w:val="00BF1D96"/>
    <w:rsid w:val="00BF3334"/>
    <w:rsid w:val="00BF3F69"/>
    <w:rsid w:val="00BF6A1B"/>
    <w:rsid w:val="00BF6C62"/>
    <w:rsid w:val="00C006B9"/>
    <w:rsid w:val="00C03665"/>
    <w:rsid w:val="00C04577"/>
    <w:rsid w:val="00C049FA"/>
    <w:rsid w:val="00C10681"/>
    <w:rsid w:val="00C14050"/>
    <w:rsid w:val="00C16804"/>
    <w:rsid w:val="00C3261C"/>
    <w:rsid w:val="00C358C6"/>
    <w:rsid w:val="00C400C4"/>
    <w:rsid w:val="00C42E5E"/>
    <w:rsid w:val="00C4431F"/>
    <w:rsid w:val="00C44433"/>
    <w:rsid w:val="00C44CC0"/>
    <w:rsid w:val="00C44E68"/>
    <w:rsid w:val="00C60046"/>
    <w:rsid w:val="00C61605"/>
    <w:rsid w:val="00C71C25"/>
    <w:rsid w:val="00C76354"/>
    <w:rsid w:val="00C81B9F"/>
    <w:rsid w:val="00C85F36"/>
    <w:rsid w:val="00C87E75"/>
    <w:rsid w:val="00C92BC8"/>
    <w:rsid w:val="00C93D2E"/>
    <w:rsid w:val="00CA07D3"/>
    <w:rsid w:val="00CA0DA2"/>
    <w:rsid w:val="00CA2426"/>
    <w:rsid w:val="00CA344C"/>
    <w:rsid w:val="00CB3CB4"/>
    <w:rsid w:val="00CB6787"/>
    <w:rsid w:val="00CD2363"/>
    <w:rsid w:val="00CD771E"/>
    <w:rsid w:val="00CD773D"/>
    <w:rsid w:val="00CE29D7"/>
    <w:rsid w:val="00CE50B4"/>
    <w:rsid w:val="00CE6DB4"/>
    <w:rsid w:val="00CF6A0A"/>
    <w:rsid w:val="00D07293"/>
    <w:rsid w:val="00D16BB1"/>
    <w:rsid w:val="00D22864"/>
    <w:rsid w:val="00D33334"/>
    <w:rsid w:val="00D44B09"/>
    <w:rsid w:val="00D531B8"/>
    <w:rsid w:val="00D53BBE"/>
    <w:rsid w:val="00D61EAA"/>
    <w:rsid w:val="00D77921"/>
    <w:rsid w:val="00D8743C"/>
    <w:rsid w:val="00D967B4"/>
    <w:rsid w:val="00DB1DDE"/>
    <w:rsid w:val="00DB68D3"/>
    <w:rsid w:val="00DB76A7"/>
    <w:rsid w:val="00DC5C28"/>
    <w:rsid w:val="00DC7546"/>
    <w:rsid w:val="00DC75E9"/>
    <w:rsid w:val="00DD106C"/>
    <w:rsid w:val="00DD24D5"/>
    <w:rsid w:val="00DD3D25"/>
    <w:rsid w:val="00DD6355"/>
    <w:rsid w:val="00DE5313"/>
    <w:rsid w:val="00DE5EFA"/>
    <w:rsid w:val="00DE727F"/>
    <w:rsid w:val="00E03A36"/>
    <w:rsid w:val="00E064A1"/>
    <w:rsid w:val="00E101E3"/>
    <w:rsid w:val="00E154A5"/>
    <w:rsid w:val="00E22565"/>
    <w:rsid w:val="00E264F0"/>
    <w:rsid w:val="00E368B1"/>
    <w:rsid w:val="00E37852"/>
    <w:rsid w:val="00E401A5"/>
    <w:rsid w:val="00E41CD0"/>
    <w:rsid w:val="00E530BD"/>
    <w:rsid w:val="00E54784"/>
    <w:rsid w:val="00E60591"/>
    <w:rsid w:val="00E6184D"/>
    <w:rsid w:val="00E62AC2"/>
    <w:rsid w:val="00E658D6"/>
    <w:rsid w:val="00E81CC7"/>
    <w:rsid w:val="00E82A94"/>
    <w:rsid w:val="00E84971"/>
    <w:rsid w:val="00E85C7E"/>
    <w:rsid w:val="00E85E22"/>
    <w:rsid w:val="00E90F0C"/>
    <w:rsid w:val="00E9307E"/>
    <w:rsid w:val="00E9397C"/>
    <w:rsid w:val="00E95070"/>
    <w:rsid w:val="00EA0F94"/>
    <w:rsid w:val="00EA1292"/>
    <w:rsid w:val="00EA2D2D"/>
    <w:rsid w:val="00EA725A"/>
    <w:rsid w:val="00EB0E5E"/>
    <w:rsid w:val="00EB2124"/>
    <w:rsid w:val="00EB48B0"/>
    <w:rsid w:val="00EB4B4F"/>
    <w:rsid w:val="00EB6772"/>
    <w:rsid w:val="00EC3513"/>
    <w:rsid w:val="00EC391F"/>
    <w:rsid w:val="00EC78DA"/>
    <w:rsid w:val="00ED09C1"/>
    <w:rsid w:val="00ED169F"/>
    <w:rsid w:val="00ED6BAD"/>
    <w:rsid w:val="00EF5F4B"/>
    <w:rsid w:val="00EF6225"/>
    <w:rsid w:val="00F00708"/>
    <w:rsid w:val="00F011E0"/>
    <w:rsid w:val="00F12723"/>
    <w:rsid w:val="00F1319B"/>
    <w:rsid w:val="00F2640A"/>
    <w:rsid w:val="00F26B34"/>
    <w:rsid w:val="00F329D4"/>
    <w:rsid w:val="00F33FD1"/>
    <w:rsid w:val="00F340A5"/>
    <w:rsid w:val="00F444EF"/>
    <w:rsid w:val="00F52501"/>
    <w:rsid w:val="00F52DBE"/>
    <w:rsid w:val="00F57876"/>
    <w:rsid w:val="00F62F5B"/>
    <w:rsid w:val="00F6369B"/>
    <w:rsid w:val="00F638A4"/>
    <w:rsid w:val="00F63C1B"/>
    <w:rsid w:val="00F67CD1"/>
    <w:rsid w:val="00F827FD"/>
    <w:rsid w:val="00F85333"/>
    <w:rsid w:val="00F939F9"/>
    <w:rsid w:val="00F940DE"/>
    <w:rsid w:val="00F955C8"/>
    <w:rsid w:val="00FA49B0"/>
    <w:rsid w:val="00FB3980"/>
    <w:rsid w:val="00FB7E0D"/>
    <w:rsid w:val="00FC107A"/>
    <w:rsid w:val="00FC191A"/>
    <w:rsid w:val="00FC6361"/>
    <w:rsid w:val="00FE3920"/>
    <w:rsid w:val="00FE5924"/>
    <w:rsid w:val="00FF1943"/>
    <w:rsid w:val="00FF3C9B"/>
    <w:rsid w:val="015E5D29"/>
    <w:rsid w:val="029403CC"/>
    <w:rsid w:val="03431F49"/>
    <w:rsid w:val="05586432"/>
    <w:rsid w:val="069C2AE7"/>
    <w:rsid w:val="0E7501E1"/>
    <w:rsid w:val="10751435"/>
    <w:rsid w:val="10C325BC"/>
    <w:rsid w:val="191875C3"/>
    <w:rsid w:val="1D2039CC"/>
    <w:rsid w:val="1E9775E8"/>
    <w:rsid w:val="1F5F1E04"/>
    <w:rsid w:val="20C778E7"/>
    <w:rsid w:val="2391343A"/>
    <w:rsid w:val="23BC753A"/>
    <w:rsid w:val="23E92C5A"/>
    <w:rsid w:val="24FD6975"/>
    <w:rsid w:val="27B81090"/>
    <w:rsid w:val="2C1A3B64"/>
    <w:rsid w:val="31284F85"/>
    <w:rsid w:val="33EF1E1A"/>
    <w:rsid w:val="366326C0"/>
    <w:rsid w:val="36956799"/>
    <w:rsid w:val="3A52377B"/>
    <w:rsid w:val="3E06091F"/>
    <w:rsid w:val="408928A4"/>
    <w:rsid w:val="41465E08"/>
    <w:rsid w:val="43C1112F"/>
    <w:rsid w:val="45CB0F77"/>
    <w:rsid w:val="45CB6A16"/>
    <w:rsid w:val="472114B3"/>
    <w:rsid w:val="4E7D54D1"/>
    <w:rsid w:val="520159E9"/>
    <w:rsid w:val="5DF931C8"/>
    <w:rsid w:val="628176A9"/>
    <w:rsid w:val="63826560"/>
    <w:rsid w:val="640F30A6"/>
    <w:rsid w:val="677A4258"/>
    <w:rsid w:val="6D22560A"/>
    <w:rsid w:val="6D232175"/>
    <w:rsid w:val="6E505367"/>
    <w:rsid w:val="6E737EA9"/>
    <w:rsid w:val="72800F6E"/>
    <w:rsid w:val="776C7EF2"/>
    <w:rsid w:val="77BC5BC0"/>
    <w:rsid w:val="781C24E1"/>
    <w:rsid w:val="7862510D"/>
    <w:rsid w:val="798869B1"/>
    <w:rsid w:val="7CD64B9D"/>
    <w:rsid w:val="7CDF14EA"/>
    <w:rsid w:val="7FDC23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8"/>
    <w:qFormat/>
    <w:uiPriority w:val="0"/>
    <w:pPr>
      <w:keepNext/>
      <w:keepLines/>
      <w:spacing w:before="260" w:after="260" w:line="416" w:lineRule="auto"/>
      <w:outlineLvl w:val="1"/>
    </w:pPr>
    <w:rPr>
      <w:rFonts w:ascii="Cambria" w:hAnsi="Cambria"/>
      <w:b/>
      <w:bCs/>
      <w:sz w:val="32"/>
      <w:szCs w:val="32"/>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3"/>
    <w:qFormat/>
    <w:uiPriority w:val="99"/>
    <w:pPr>
      <w:tabs>
        <w:tab w:val="center" w:pos="4153"/>
        <w:tab w:val="right" w:pos="8306"/>
      </w:tabs>
      <w:snapToGrid w:val="0"/>
      <w:jc w:val="left"/>
    </w:pPr>
    <w:rPr>
      <w:sz w:val="18"/>
      <w:szCs w:val="18"/>
    </w:rPr>
  </w:style>
  <w:style w:type="paragraph" w:styleId="5">
    <w:name w:val="Normal Indent"/>
    <w:basedOn w:val="1"/>
    <w:qFormat/>
    <w:uiPriority w:val="0"/>
    <w:pPr>
      <w:ind w:firstLine="420" w:firstLineChars="200"/>
    </w:pPr>
  </w:style>
  <w:style w:type="paragraph" w:styleId="6">
    <w:name w:val="Body Text"/>
    <w:basedOn w:val="1"/>
    <w:link w:val="29"/>
    <w:qFormat/>
    <w:uiPriority w:val="0"/>
    <w:pPr>
      <w:spacing w:after="120"/>
    </w:pPr>
    <w:rPr>
      <w:rFonts w:ascii="Calibri" w:hAnsi="Calibri"/>
    </w:rPr>
  </w:style>
  <w:style w:type="paragraph" w:styleId="7">
    <w:name w:val="Body Text Indent"/>
    <w:basedOn w:val="1"/>
    <w:link w:val="30"/>
    <w:qFormat/>
    <w:uiPriority w:val="0"/>
    <w:pPr>
      <w:spacing w:after="120"/>
      <w:ind w:left="420" w:leftChars="200"/>
    </w:pPr>
  </w:style>
  <w:style w:type="paragraph" w:styleId="8">
    <w:name w:val="Date"/>
    <w:basedOn w:val="1"/>
    <w:next w:val="1"/>
    <w:link w:val="31"/>
    <w:qFormat/>
    <w:uiPriority w:val="0"/>
    <w:pPr>
      <w:ind w:left="100" w:leftChars="2500"/>
    </w:pPr>
  </w:style>
  <w:style w:type="paragraph" w:styleId="9">
    <w:name w:val="Body Text Indent 2"/>
    <w:basedOn w:val="1"/>
    <w:next w:val="1"/>
    <w:link w:val="65"/>
    <w:unhideWhenUsed/>
    <w:qFormat/>
    <w:uiPriority w:val="99"/>
    <w:pPr>
      <w:ind w:firstLine="640" w:firstLineChars="200"/>
    </w:pPr>
    <w:rPr>
      <w:rFonts w:ascii="Calibri" w:hAnsi="Calibri" w:cs="宋体"/>
      <w:sz w:val="32"/>
      <w:szCs w:val="22"/>
    </w:rPr>
  </w:style>
  <w:style w:type="paragraph" w:styleId="10">
    <w:name w:val="Balloon Text"/>
    <w:basedOn w:val="1"/>
    <w:link w:val="42"/>
    <w:qFormat/>
    <w:uiPriority w:val="0"/>
    <w:rPr>
      <w:sz w:val="18"/>
      <w:szCs w:val="18"/>
    </w:rPr>
  </w:style>
  <w:style w:type="paragraph" w:styleId="11">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2"/>
    <w:basedOn w:val="1"/>
    <w:link w:val="80"/>
    <w:qFormat/>
    <w:uiPriority w:val="0"/>
    <w:pPr>
      <w:spacing w:after="120" w:line="480" w:lineRule="auto"/>
    </w:pPr>
  </w:style>
  <w:style w:type="paragraph" w:styleId="13">
    <w:name w:val="HTML Preformatted"/>
    <w:basedOn w:val="1"/>
    <w:link w:val="5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unhideWhenUsed/>
    <w:qFormat/>
    <w:uiPriority w:val="99"/>
    <w:pPr>
      <w:spacing w:before="100" w:beforeAutospacing="1" w:after="100" w:afterAutospacing="1"/>
      <w:jc w:val="left"/>
    </w:pPr>
    <w:rPr>
      <w:kern w:val="0"/>
      <w:sz w:val="24"/>
      <w:szCs w:val="22"/>
    </w:rPr>
  </w:style>
  <w:style w:type="paragraph" w:styleId="15">
    <w:name w:val="Title"/>
    <w:basedOn w:val="1"/>
    <w:next w:val="1"/>
    <w:link w:val="45"/>
    <w:qFormat/>
    <w:uiPriority w:val="0"/>
    <w:pPr>
      <w:spacing w:before="240" w:after="60"/>
      <w:jc w:val="center"/>
      <w:outlineLvl w:val="0"/>
    </w:pPr>
    <w:rPr>
      <w:rFonts w:ascii="Cambria" w:hAnsi="Cambria"/>
      <w:b/>
      <w:bCs/>
      <w:sz w:val="32"/>
      <w:szCs w:val="32"/>
    </w:rPr>
  </w:style>
  <w:style w:type="paragraph" w:styleId="16">
    <w:name w:val="Body Text First Indent"/>
    <w:basedOn w:val="6"/>
    <w:link w:val="64"/>
    <w:unhideWhenUsed/>
    <w:qFormat/>
    <w:uiPriority w:val="99"/>
    <w:pPr>
      <w:spacing w:after="0" w:line="500" w:lineRule="exact"/>
      <w:ind w:firstLine="420"/>
    </w:pPr>
    <w:rPr>
      <w:szCs w:val="28"/>
    </w:rPr>
  </w:style>
  <w:style w:type="paragraph" w:styleId="17">
    <w:name w:val="Body Text First Indent 2"/>
    <w:basedOn w:val="7"/>
    <w:link w:val="34"/>
    <w:qFormat/>
    <w:uiPriority w:val="0"/>
    <w:pPr>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0"/>
    <w:rPr>
      <w:b/>
      <w:bCs/>
    </w:rPr>
  </w:style>
  <w:style w:type="character" w:styleId="22">
    <w:name w:val="page number"/>
    <w:basedOn w:val="20"/>
    <w:qFormat/>
    <w:uiPriority w:val="0"/>
    <w:rPr>
      <w:rFonts w:cs="Times New Roman"/>
    </w:rPr>
  </w:style>
  <w:style w:type="character" w:styleId="23">
    <w:name w:val="FollowedHyperlink"/>
    <w:qFormat/>
    <w:uiPriority w:val="0"/>
    <w:rPr>
      <w:color w:val="333333"/>
      <w:u w:val="none"/>
    </w:rPr>
  </w:style>
  <w:style w:type="character" w:styleId="24">
    <w:name w:val="HTML Acronym"/>
    <w:basedOn w:val="20"/>
    <w:qFormat/>
    <w:uiPriority w:val="0"/>
  </w:style>
  <w:style w:type="character" w:styleId="25">
    <w:name w:val="Hyperlink"/>
    <w:qFormat/>
    <w:uiPriority w:val="0"/>
    <w:rPr>
      <w:color w:val="333333"/>
      <w:u w:val="none"/>
    </w:rPr>
  </w:style>
  <w:style w:type="character" w:styleId="26">
    <w:name w:val="annotation reference"/>
    <w:basedOn w:val="20"/>
    <w:unhideWhenUsed/>
    <w:qFormat/>
    <w:uiPriority w:val="99"/>
    <w:rPr>
      <w:rFonts w:ascii="Times New Roman" w:hAnsi="Times New Roman" w:eastAsia="宋体" w:cs="Times New Roman"/>
      <w:sz w:val="21"/>
      <w:szCs w:val="21"/>
    </w:rPr>
  </w:style>
  <w:style w:type="character" w:customStyle="1" w:styleId="27">
    <w:name w:val="标题 1 Char"/>
    <w:link w:val="3"/>
    <w:qFormat/>
    <w:uiPriority w:val="0"/>
    <w:rPr>
      <w:b/>
      <w:bCs/>
      <w:kern w:val="44"/>
      <w:sz w:val="44"/>
      <w:szCs w:val="44"/>
    </w:rPr>
  </w:style>
  <w:style w:type="character" w:customStyle="1" w:styleId="28">
    <w:name w:val="标题 2 Char"/>
    <w:link w:val="4"/>
    <w:semiHidden/>
    <w:qFormat/>
    <w:uiPriority w:val="0"/>
    <w:rPr>
      <w:rFonts w:ascii="Cambria" w:hAnsi="Cambria" w:eastAsia="宋体" w:cs="Times New Roman"/>
      <w:b/>
      <w:bCs/>
      <w:kern w:val="2"/>
      <w:sz w:val="32"/>
      <w:szCs w:val="32"/>
    </w:rPr>
  </w:style>
  <w:style w:type="character" w:customStyle="1" w:styleId="29">
    <w:name w:val="正文文本 Char"/>
    <w:link w:val="6"/>
    <w:qFormat/>
    <w:uiPriority w:val="0"/>
    <w:rPr>
      <w:rFonts w:ascii="Calibri" w:hAnsi="Calibri"/>
      <w:kern w:val="2"/>
      <w:sz w:val="21"/>
      <w:szCs w:val="24"/>
    </w:rPr>
  </w:style>
  <w:style w:type="character" w:customStyle="1" w:styleId="30">
    <w:name w:val="正文文本缩进 Char"/>
    <w:link w:val="7"/>
    <w:qFormat/>
    <w:uiPriority w:val="0"/>
    <w:rPr>
      <w:kern w:val="2"/>
      <w:sz w:val="21"/>
      <w:szCs w:val="24"/>
    </w:rPr>
  </w:style>
  <w:style w:type="character" w:customStyle="1" w:styleId="31">
    <w:name w:val="日期 Char"/>
    <w:link w:val="8"/>
    <w:qFormat/>
    <w:uiPriority w:val="0"/>
    <w:rPr>
      <w:kern w:val="2"/>
      <w:sz w:val="21"/>
      <w:szCs w:val="24"/>
    </w:rPr>
  </w:style>
  <w:style w:type="character" w:customStyle="1" w:styleId="32">
    <w:name w:val="批注框文本 Char1"/>
    <w:link w:val="10"/>
    <w:qFormat/>
    <w:uiPriority w:val="0"/>
    <w:rPr>
      <w:kern w:val="2"/>
      <w:sz w:val="18"/>
      <w:szCs w:val="18"/>
    </w:rPr>
  </w:style>
  <w:style w:type="character" w:customStyle="1" w:styleId="33">
    <w:name w:val="页脚 Char"/>
    <w:link w:val="2"/>
    <w:qFormat/>
    <w:uiPriority w:val="99"/>
    <w:rPr>
      <w:kern w:val="2"/>
      <w:sz w:val="18"/>
      <w:szCs w:val="18"/>
    </w:rPr>
  </w:style>
  <w:style w:type="character" w:customStyle="1" w:styleId="34">
    <w:name w:val="正文首行缩进 2 Char"/>
    <w:basedOn w:val="30"/>
    <w:link w:val="17"/>
    <w:qFormat/>
    <w:uiPriority w:val="0"/>
  </w:style>
  <w:style w:type="character" w:customStyle="1" w:styleId="35">
    <w:name w:val="页眉 Char"/>
    <w:link w:val="11"/>
    <w:qFormat/>
    <w:uiPriority w:val="0"/>
    <w:rPr>
      <w:kern w:val="2"/>
      <w:sz w:val="18"/>
      <w:szCs w:val="18"/>
    </w:rPr>
  </w:style>
  <w:style w:type="character" w:customStyle="1" w:styleId="36">
    <w:name w:val="HTML 预设格式 Char1"/>
    <w:link w:val="13"/>
    <w:qFormat/>
    <w:uiPriority w:val="0"/>
    <w:rPr>
      <w:rFonts w:ascii="Courier New" w:hAnsi="Courier New" w:cs="Courier New"/>
      <w:kern w:val="2"/>
    </w:rPr>
  </w:style>
  <w:style w:type="character" w:customStyle="1" w:styleId="37">
    <w:name w:val="标题 Char1"/>
    <w:link w:val="15"/>
    <w:qFormat/>
    <w:uiPriority w:val="0"/>
    <w:rPr>
      <w:rFonts w:ascii="Cambria" w:hAnsi="Cambria" w:cs="Times New Roman"/>
      <w:b/>
      <w:bCs/>
      <w:kern w:val="2"/>
      <w:sz w:val="32"/>
      <w:szCs w:val="32"/>
    </w:rPr>
  </w:style>
  <w:style w:type="paragraph" w:customStyle="1" w:styleId="3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9">
    <w:name w:val="Char"/>
    <w:basedOn w:val="1"/>
    <w:qFormat/>
    <w:uiPriority w:val="0"/>
    <w:pPr>
      <w:widowControl/>
      <w:adjustRightInd w:val="0"/>
      <w:spacing w:after="160" w:line="240" w:lineRule="exact"/>
      <w:jc w:val="left"/>
    </w:pPr>
    <w:rPr>
      <w:rFonts w:ascii="Arial" w:hAnsi="Arial" w:eastAsia="Times New Roman" w:cs="Verdana"/>
      <w:b/>
      <w:kern w:val="0"/>
      <w:sz w:val="24"/>
      <w:lang w:eastAsia="en-US"/>
    </w:rPr>
  </w:style>
  <w:style w:type="paragraph" w:customStyle="1" w:styleId="40">
    <w:name w:val="标题1"/>
    <w:basedOn w:val="1"/>
    <w:next w:val="1"/>
    <w:qFormat/>
    <w:uiPriority w:val="0"/>
    <w:pPr>
      <w:tabs>
        <w:tab w:val="left" w:pos="9193"/>
        <w:tab w:val="left" w:pos="9827"/>
      </w:tabs>
      <w:autoSpaceDE w:val="0"/>
      <w:autoSpaceDN w:val="0"/>
      <w:snapToGrid w:val="0"/>
      <w:spacing w:line="700" w:lineRule="atLeast"/>
      <w:jc w:val="center"/>
    </w:pPr>
    <w:rPr>
      <w:rFonts w:eastAsia="方正小标宋_GBK"/>
      <w:kern w:val="0"/>
      <w:sz w:val="44"/>
      <w:szCs w:val="20"/>
    </w:rPr>
  </w:style>
  <w:style w:type="paragraph" w:customStyle="1" w:styleId="41">
    <w:name w:val="_Style 2"/>
    <w:basedOn w:val="1"/>
    <w:qFormat/>
    <w:uiPriority w:val="0"/>
    <w:pPr>
      <w:widowControl/>
      <w:spacing w:after="160" w:line="240" w:lineRule="exact"/>
      <w:jc w:val="left"/>
    </w:pPr>
    <w:rPr>
      <w:rFonts w:ascii="Arial" w:hAnsi="Arial" w:eastAsia="Times New Roman" w:cs="Verdana"/>
      <w:b/>
      <w:kern w:val="0"/>
      <w:sz w:val="24"/>
      <w:szCs w:val="32"/>
      <w:lang w:eastAsia="en-US"/>
    </w:rPr>
  </w:style>
  <w:style w:type="character" w:customStyle="1" w:styleId="42">
    <w:name w:val="批注框文本 Char"/>
    <w:link w:val="10"/>
    <w:qFormat/>
    <w:uiPriority w:val="0"/>
    <w:rPr>
      <w:kern w:val="2"/>
      <w:sz w:val="18"/>
      <w:szCs w:val="18"/>
    </w:rPr>
  </w:style>
  <w:style w:type="character" w:customStyle="1" w:styleId="43">
    <w:name w:val="font71"/>
    <w:qFormat/>
    <w:uiPriority w:val="0"/>
    <w:rPr>
      <w:rFonts w:hint="default" w:ascii="Times New Roman" w:hAnsi="Times New Roman" w:cs="Times New Roman"/>
      <w:color w:val="000000"/>
      <w:sz w:val="22"/>
      <w:szCs w:val="22"/>
      <w:u w:val="none"/>
    </w:rPr>
  </w:style>
  <w:style w:type="character" w:customStyle="1" w:styleId="44">
    <w:name w:val="tit"/>
    <w:uiPriority w:val="0"/>
    <w:rPr>
      <w:b/>
      <w:color w:val="DD0000"/>
    </w:rPr>
  </w:style>
  <w:style w:type="character" w:customStyle="1" w:styleId="45">
    <w:name w:val="标题 Char"/>
    <w:link w:val="15"/>
    <w:uiPriority w:val="0"/>
    <w:rPr>
      <w:rFonts w:ascii="Cambria" w:hAnsi="Cambria"/>
      <w:b/>
      <w:bCs/>
      <w:kern w:val="2"/>
      <w:sz w:val="32"/>
      <w:szCs w:val="32"/>
    </w:rPr>
  </w:style>
  <w:style w:type="character" w:customStyle="1" w:styleId="46">
    <w:name w:val="nr"/>
    <w:basedOn w:val="20"/>
    <w:uiPriority w:val="0"/>
  </w:style>
  <w:style w:type="character" w:customStyle="1" w:styleId="47">
    <w:name w:val="font61"/>
    <w:qFormat/>
    <w:uiPriority w:val="0"/>
    <w:rPr>
      <w:rFonts w:hint="eastAsia" w:ascii="宋体" w:hAnsi="宋体" w:eastAsia="宋体" w:cs="宋体"/>
      <w:b/>
      <w:color w:val="000000"/>
      <w:sz w:val="22"/>
      <w:szCs w:val="22"/>
      <w:u w:val="none"/>
    </w:rPr>
  </w:style>
  <w:style w:type="character" w:customStyle="1" w:styleId="48">
    <w:name w:val="font101"/>
    <w:qFormat/>
    <w:uiPriority w:val="0"/>
    <w:rPr>
      <w:rFonts w:hint="eastAsia" w:ascii="宋体" w:hAnsi="宋体" w:eastAsia="宋体" w:cs="宋体"/>
      <w:b/>
      <w:color w:val="000000"/>
      <w:sz w:val="22"/>
      <w:szCs w:val="22"/>
      <w:u w:val="none"/>
    </w:rPr>
  </w:style>
  <w:style w:type="character" w:customStyle="1" w:styleId="49">
    <w:name w:val="note-content1"/>
    <w:uiPriority w:val="0"/>
    <w:rPr>
      <w:color w:val="333333"/>
    </w:rPr>
  </w:style>
  <w:style w:type="character" w:customStyle="1" w:styleId="50">
    <w:name w:val="note-content"/>
    <w:basedOn w:val="20"/>
    <w:uiPriority w:val="0"/>
  </w:style>
  <w:style w:type="character" w:customStyle="1" w:styleId="51">
    <w:name w:val="HTML 预设格式 Char"/>
    <w:link w:val="13"/>
    <w:uiPriority w:val="0"/>
    <w:rPr>
      <w:rFonts w:ascii="宋体" w:hAnsi="宋体" w:cs="宋体"/>
      <w:sz w:val="24"/>
      <w:szCs w:val="24"/>
    </w:rPr>
  </w:style>
  <w:style w:type="character" w:customStyle="1" w:styleId="52">
    <w:name w:val="font51"/>
    <w:qFormat/>
    <w:uiPriority w:val="0"/>
    <w:rPr>
      <w:rFonts w:hint="eastAsia" w:ascii="宋体" w:hAnsi="宋体" w:eastAsia="宋体" w:cs="宋体"/>
      <w:b/>
      <w:color w:val="000000"/>
      <w:sz w:val="36"/>
      <w:szCs w:val="36"/>
      <w:u w:val="none"/>
    </w:rPr>
  </w:style>
  <w:style w:type="character" w:customStyle="1" w:styleId="53">
    <w:name w:val="c3"/>
    <w:basedOn w:val="20"/>
    <w:uiPriority w:val="0"/>
  </w:style>
  <w:style w:type="character" w:customStyle="1" w:styleId="54">
    <w:name w:val="font41"/>
    <w:qFormat/>
    <w:uiPriority w:val="0"/>
    <w:rPr>
      <w:rFonts w:hint="eastAsia" w:ascii="宋体" w:hAnsi="宋体" w:eastAsia="宋体" w:cs="宋体"/>
      <w:b/>
      <w:color w:val="000000"/>
      <w:sz w:val="24"/>
      <w:szCs w:val="24"/>
      <w:u w:val="none"/>
    </w:rPr>
  </w:style>
  <w:style w:type="character" w:customStyle="1" w:styleId="55">
    <w:name w:val="font141"/>
    <w:qFormat/>
    <w:uiPriority w:val="0"/>
    <w:rPr>
      <w:rFonts w:hint="eastAsia" w:ascii="宋体" w:hAnsi="宋体" w:eastAsia="宋体" w:cs="宋体"/>
      <w:b/>
      <w:color w:val="000000"/>
      <w:sz w:val="22"/>
      <w:szCs w:val="22"/>
      <w:u w:val="none"/>
    </w:rPr>
  </w:style>
  <w:style w:type="character" w:customStyle="1" w:styleId="56">
    <w:name w:val="red2"/>
    <w:qFormat/>
    <w:uiPriority w:val="0"/>
    <w:rPr>
      <w:color w:val="FF0000"/>
    </w:rPr>
  </w:style>
  <w:style w:type="character" w:customStyle="1" w:styleId="57">
    <w:name w:val="c1"/>
    <w:basedOn w:val="20"/>
    <w:qFormat/>
    <w:uiPriority w:val="0"/>
  </w:style>
  <w:style w:type="character" w:customStyle="1" w:styleId="58">
    <w:name w:val="msg-box16"/>
    <w:basedOn w:val="20"/>
    <w:qFormat/>
    <w:uiPriority w:val="0"/>
  </w:style>
  <w:style w:type="character" w:customStyle="1" w:styleId="59">
    <w:name w:val="font112"/>
    <w:qFormat/>
    <w:uiPriority w:val="0"/>
    <w:rPr>
      <w:rFonts w:hint="eastAsia" w:ascii="宋体" w:hAnsi="宋体" w:eastAsia="宋体" w:cs="宋体"/>
      <w:b/>
      <w:color w:val="000000"/>
      <w:sz w:val="22"/>
      <w:szCs w:val="22"/>
      <w:u w:val="none"/>
    </w:rPr>
  </w:style>
  <w:style w:type="character" w:customStyle="1" w:styleId="60">
    <w:name w:val="bt1"/>
    <w:qFormat/>
    <w:uiPriority w:val="0"/>
    <w:rPr>
      <w:color w:val="FFFFFF"/>
      <w:sz w:val="21"/>
      <w:szCs w:val="21"/>
      <w:shd w:val="clear" w:color="auto" w:fill="0364BE"/>
    </w:rPr>
  </w:style>
  <w:style w:type="character" w:customStyle="1" w:styleId="61">
    <w:name w:val="c2"/>
    <w:basedOn w:val="20"/>
    <w:qFormat/>
    <w:uiPriority w:val="0"/>
  </w:style>
  <w:style w:type="character" w:customStyle="1" w:styleId="62">
    <w:name w:val="font81"/>
    <w:qFormat/>
    <w:uiPriority w:val="0"/>
    <w:rPr>
      <w:rFonts w:hint="default" w:ascii="Times New Roman" w:hAnsi="Times New Roman" w:cs="Times New Roman"/>
      <w:b/>
      <w:color w:val="000000"/>
      <w:sz w:val="22"/>
      <w:szCs w:val="22"/>
      <w:u w:val="none"/>
    </w:rPr>
  </w:style>
  <w:style w:type="paragraph" w:customStyle="1" w:styleId="6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64">
    <w:name w:val="正文首行缩进 Char"/>
    <w:basedOn w:val="29"/>
    <w:link w:val="16"/>
    <w:qFormat/>
    <w:uiPriority w:val="99"/>
    <w:rPr>
      <w:szCs w:val="28"/>
    </w:rPr>
  </w:style>
  <w:style w:type="character" w:customStyle="1" w:styleId="65">
    <w:name w:val="正文文本缩进 2 Char"/>
    <w:basedOn w:val="20"/>
    <w:link w:val="9"/>
    <w:qFormat/>
    <w:uiPriority w:val="99"/>
    <w:rPr>
      <w:rFonts w:ascii="Calibri" w:hAnsi="Calibri" w:cs="宋体"/>
      <w:kern w:val="2"/>
      <w:sz w:val="32"/>
      <w:szCs w:val="22"/>
    </w:rPr>
  </w:style>
  <w:style w:type="character" w:customStyle="1" w:styleId="66">
    <w:name w:val="NormalCharacter"/>
    <w:semiHidden/>
    <w:qFormat/>
    <w:uiPriority w:val="0"/>
    <w:rPr>
      <w:rFonts w:ascii="Calibri" w:hAnsi="Calibri" w:eastAsia="宋体" w:cs="Times New Roman"/>
      <w:kern w:val="2"/>
      <w:sz w:val="21"/>
      <w:szCs w:val="22"/>
      <w:lang w:val="en-US" w:eastAsia="zh-CN" w:bidi="ar-SA"/>
    </w:rPr>
  </w:style>
  <w:style w:type="paragraph" w:customStyle="1" w:styleId="67">
    <w:name w:val="HtmlNormal"/>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68">
    <w:name w:val="BodyTextIndent2"/>
    <w:basedOn w:val="1"/>
    <w:qFormat/>
    <w:uiPriority w:val="0"/>
    <w:pPr>
      <w:spacing w:after="120" w:line="480" w:lineRule="auto"/>
      <w:ind w:left="420" w:leftChars="200"/>
    </w:pPr>
    <w:rPr>
      <w:rFonts w:ascii="Calibri" w:hAnsi="Calibri"/>
      <w:szCs w:val="22"/>
    </w:rPr>
  </w:style>
  <w:style w:type="paragraph" w:customStyle="1" w:styleId="69">
    <w:name w:val="列出段落1"/>
    <w:basedOn w:val="1"/>
    <w:qFormat/>
    <w:uiPriority w:val="34"/>
    <w:pPr>
      <w:ind w:firstLine="420" w:firstLineChars="200"/>
    </w:pPr>
    <w:rPr>
      <w:rFonts w:ascii="Calibri" w:hAnsi="Calibri"/>
      <w:szCs w:val="22"/>
    </w:rPr>
  </w:style>
  <w:style w:type="paragraph" w:customStyle="1" w:styleId="70">
    <w:name w:val="Char1 Char Char Char"/>
    <w:basedOn w:val="1"/>
    <w:uiPriority w:val="0"/>
    <w:pPr>
      <w:tabs>
        <w:tab w:val="left" w:pos="900"/>
      </w:tabs>
      <w:spacing w:before="312" w:after="312" w:line="360" w:lineRule="auto"/>
      <w:ind w:left="900" w:hanging="360"/>
    </w:pPr>
  </w:style>
  <w:style w:type="character" w:customStyle="1" w:styleId="71">
    <w:name w:val="apple-converted-space"/>
    <w:basedOn w:val="20"/>
    <w:qFormat/>
    <w:uiPriority w:val="0"/>
  </w:style>
  <w:style w:type="paragraph" w:customStyle="1" w:styleId="72">
    <w:name w:val="p0"/>
    <w:basedOn w:val="1"/>
    <w:qFormat/>
    <w:uiPriority w:val="0"/>
    <w:pPr>
      <w:widowControl/>
      <w:jc w:val="left"/>
    </w:pPr>
    <w:rPr>
      <w:rFonts w:ascii="宋体" w:hAnsi="宋体" w:cs="宋体"/>
      <w:kern w:val="0"/>
      <w:sz w:val="24"/>
    </w:rPr>
  </w:style>
  <w:style w:type="paragraph" w:styleId="73">
    <w:name w:val="List Paragraph"/>
    <w:basedOn w:val="1"/>
    <w:qFormat/>
    <w:uiPriority w:val="34"/>
    <w:pPr>
      <w:widowControl/>
      <w:spacing w:line="580" w:lineRule="exact"/>
      <w:ind w:firstLine="420" w:firstLineChars="200"/>
      <w:jc w:val="left"/>
    </w:pPr>
    <w:rPr>
      <w:rFonts w:ascii="仿宋" w:hAnsi="仿宋" w:eastAsia="仿宋"/>
      <w:sz w:val="32"/>
      <w:szCs w:val="32"/>
    </w:rPr>
  </w:style>
  <w:style w:type="character" w:customStyle="1" w:styleId="74">
    <w:name w:val="bsharetext"/>
    <w:basedOn w:val="20"/>
    <w:qFormat/>
    <w:uiPriority w:val="0"/>
  </w:style>
  <w:style w:type="character" w:customStyle="1" w:styleId="75">
    <w:name w:val="font01"/>
    <w:basedOn w:val="20"/>
    <w:qFormat/>
    <w:uiPriority w:val="0"/>
    <w:rPr>
      <w:rFonts w:hint="eastAsia" w:ascii="宋体" w:hAnsi="宋体" w:eastAsia="宋体" w:cs="宋体"/>
      <w:color w:val="000000"/>
      <w:sz w:val="22"/>
      <w:szCs w:val="22"/>
      <w:u w:val="none"/>
    </w:rPr>
  </w:style>
  <w:style w:type="character" w:customStyle="1" w:styleId="76">
    <w:name w:val="font31"/>
    <w:basedOn w:val="20"/>
    <w:qFormat/>
    <w:uiPriority w:val="0"/>
    <w:rPr>
      <w:rFonts w:hint="eastAsia" w:ascii="宋体" w:hAnsi="宋体" w:eastAsia="宋体" w:cs="宋体"/>
      <w:b/>
      <w:color w:val="000000"/>
      <w:sz w:val="22"/>
      <w:szCs w:val="22"/>
      <w:u w:val="none"/>
    </w:rPr>
  </w:style>
  <w:style w:type="character" w:customStyle="1" w:styleId="77">
    <w:name w:val="font21"/>
    <w:basedOn w:val="20"/>
    <w:qFormat/>
    <w:uiPriority w:val="0"/>
    <w:rPr>
      <w:rFonts w:hint="eastAsia" w:ascii="宋体" w:hAnsi="宋体" w:eastAsia="宋体" w:cs="宋体"/>
      <w:color w:val="000000"/>
      <w:sz w:val="22"/>
      <w:szCs w:val="22"/>
      <w:u w:val="none"/>
    </w:rPr>
  </w:style>
  <w:style w:type="character" w:customStyle="1" w:styleId="78">
    <w:name w:val="font11"/>
    <w:basedOn w:val="20"/>
    <w:qFormat/>
    <w:uiPriority w:val="0"/>
    <w:rPr>
      <w:rFonts w:hint="eastAsia" w:ascii="宋体" w:hAnsi="宋体" w:eastAsia="宋体" w:cs="宋体"/>
      <w:color w:val="000000"/>
      <w:sz w:val="22"/>
      <w:szCs w:val="22"/>
      <w:u w:val="none"/>
    </w:rPr>
  </w:style>
  <w:style w:type="paragraph" w:customStyle="1" w:styleId="79">
    <w:name w:val="Char 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80">
    <w:name w:val="正文文本 2 Char"/>
    <w:basedOn w:val="20"/>
    <w:link w:val="12"/>
    <w:qFormat/>
    <w:uiPriority w:val="0"/>
    <w:rPr>
      <w:kern w:val="2"/>
      <w:sz w:val="21"/>
      <w:szCs w:val="24"/>
    </w:rPr>
  </w:style>
  <w:style w:type="character" w:customStyle="1" w:styleId="81">
    <w:name w:val="fontstyle01"/>
    <w:basedOn w:val="20"/>
    <w:qFormat/>
    <w:uiPriority w:val="0"/>
    <w:rPr>
      <w:rFonts w:hint="eastAsia" w:ascii="宋体" w:hAnsi="宋体" w:eastAsia="宋体"/>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D190EC-B535-4914-AB7D-1C915F1EAAF2}">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568</Words>
  <Characters>3239</Characters>
  <Lines>26</Lines>
  <Paragraphs>7</Paragraphs>
  <TotalTime>16</TotalTime>
  <ScaleCrop>false</ScaleCrop>
  <LinksUpToDate>false</LinksUpToDate>
  <CharactersWithSpaces>3800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2024-01-10T08:09:00Z</dcterms:created>
  <dc:creator>张玉</dc:creator>
  <cp:lastModifiedBy>Administrator</cp:lastModifiedBy>
  <cp:lastPrinted>2024-01-10T08:24:00Z</cp:lastPrinted>
  <dcterms:modified xsi:type="dcterms:W3CDTF">2024-12-02T07:51:37Z</dcterms:modified>
  <dc:title>关于下达淮北市2011年科技计划项目的通知</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KSOSaveFontToCloudKey">
    <vt:lpwstr>299023085_btnclosed</vt:lpwstr>
  </property>
  <property fmtid="{D5CDD505-2E9C-101B-9397-08002B2CF9AE}" pid="4" name="ICV">
    <vt:lpwstr>069FB8EFBC864FFD89F72B2028BF73B4</vt:lpwstr>
  </property>
</Properties>
</file>