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0" w:name="_GoBack"/>
      <w:bookmarkEnd w:id="0"/>
    </w:p>
    <w:p>
      <w:pPr>
        <w:pStyle w:val="3"/>
        <w:keepNext w:val="0"/>
        <w:keepLines w:val="0"/>
        <w:widowControl/>
        <w:shd w:val="clear" w:color="auto" w:fill="FFFFFF"/>
        <w:spacing w:before="0" w:after="0" w:line="240" w:lineRule="auto"/>
        <w:rPr>
          <w:rFonts w:hint="eastAsia" w:eastAsia="仿宋_GB2312"/>
          <w:b w:val="0"/>
          <w:color w:val="000000"/>
          <w:sz w:val="32"/>
          <w:szCs w:val="32"/>
        </w:rPr>
      </w:pPr>
      <w:r>
        <w:rPr>
          <w:rFonts w:hint="eastAsia" w:eastAsia="仿宋_GB2312"/>
          <w:b w:val="0"/>
          <w:color w:val="000000"/>
          <w:sz w:val="32"/>
          <w:szCs w:val="32"/>
        </w:rPr>
        <w:t>附件</w:t>
      </w:r>
    </w:p>
    <w:p>
      <w:pPr>
        <w:rPr>
          <w:sz w:val="32"/>
          <w:szCs w:val="32"/>
        </w:rPr>
      </w:pPr>
    </w:p>
    <w:p>
      <w:pPr>
        <w:pStyle w:val="3"/>
        <w:keepNext w:val="0"/>
        <w:keepLines w:val="0"/>
        <w:widowControl/>
        <w:shd w:val="clear" w:color="auto" w:fill="FFFFFF"/>
        <w:spacing w:before="0" w:after="0" w:line="680" w:lineRule="exact"/>
        <w:jc w:val="center"/>
        <w:rPr>
          <w:rFonts w:ascii="方正小标宋简体" w:hAnsi="方正小标宋简体" w:eastAsia="方正小标宋简体" w:cs="方正小标宋简体"/>
          <w:b w:val="0"/>
          <w:bCs w:val="0"/>
          <w:shd w:val="clear" w:color="auto" w:fill="FFFFFF"/>
        </w:rPr>
      </w:pPr>
      <w:r>
        <w:rPr>
          <w:rFonts w:hint="eastAsia" w:ascii="方正小标宋简体" w:hAnsi="方正小标宋简体" w:eastAsia="方正小标宋简体" w:cs="方正小标宋简体"/>
          <w:b w:val="0"/>
          <w:bCs w:val="0"/>
          <w:shd w:val="clear" w:color="auto" w:fill="FFFFFF"/>
        </w:rPr>
        <w:t>淮北市人民政府办公室</w:t>
      </w:r>
    </w:p>
    <w:p>
      <w:pPr>
        <w:pStyle w:val="3"/>
        <w:keepNext w:val="0"/>
        <w:keepLines w:val="0"/>
        <w:widowControl/>
        <w:shd w:val="clear" w:color="auto" w:fill="FFFFFF"/>
        <w:spacing w:before="0" w:after="0" w:line="680" w:lineRule="exact"/>
        <w:jc w:val="center"/>
        <w:rPr>
          <w:rFonts w:cs="宋体"/>
          <w:b w:val="0"/>
          <w:sz w:val="32"/>
          <w:szCs w:val="32"/>
          <w:shd w:val="clear" w:color="auto" w:fill="FFFFFF"/>
        </w:rPr>
      </w:pPr>
      <w:r>
        <w:rPr>
          <w:rFonts w:hint="eastAsia" w:ascii="方正小标宋简体" w:hAnsi="方正小标宋简体" w:eastAsia="方正小标宋简体" w:cs="方正小标宋简体"/>
          <w:b w:val="0"/>
          <w:bCs w:val="0"/>
          <w:shd w:val="clear" w:color="auto" w:fill="FFFFFF"/>
        </w:rPr>
        <w:t>关于加快推进科技创新平台建设的实施意见</w:t>
      </w:r>
    </w:p>
    <w:p>
      <w:pPr>
        <w:spacing w:line="560" w:lineRule="exact"/>
        <w:jc w:val="center"/>
        <w:rPr>
          <w:rFonts w:hint="eastAsia" w:ascii="楷体_GB2312" w:hAnsi="方正楷体_GBK" w:eastAsia="楷体_GB2312" w:cs="方正楷体_GBK"/>
          <w:b/>
          <w:bCs/>
          <w:sz w:val="32"/>
          <w:szCs w:val="32"/>
        </w:rPr>
      </w:pPr>
      <w:r>
        <w:rPr>
          <w:rFonts w:hint="eastAsia" w:ascii="楷体_GB2312" w:hAnsi="方正楷体_GBK" w:eastAsia="楷体_GB2312" w:cs="方正楷体_GBK"/>
          <w:b/>
          <w:bCs/>
          <w:sz w:val="32"/>
          <w:szCs w:val="32"/>
        </w:rPr>
        <w:t>（征求意见稿）</w:t>
      </w:r>
    </w:p>
    <w:p>
      <w:pPr>
        <w:pStyle w:val="82"/>
        <w:spacing w:line="560" w:lineRule="exact"/>
      </w:pPr>
    </w:p>
    <w:p>
      <w:pPr>
        <w:pStyle w:val="14"/>
        <w:widowControl/>
        <w:spacing w:before="0" w:beforeAutospacing="0" w:after="0" w:afterAutospacing="0" w:line="580" w:lineRule="exact"/>
        <w:jc w:val="both"/>
        <w:rPr>
          <w:rFonts w:eastAsia="仿宋_GB2312"/>
          <w:sz w:val="32"/>
          <w:szCs w:val="32"/>
          <w:shd w:val="clear" w:color="auto" w:fill="FFFFFF"/>
        </w:rPr>
      </w:pPr>
      <w:r>
        <w:rPr>
          <w:rFonts w:eastAsia="仿宋_GB2312"/>
          <w:sz w:val="32"/>
          <w:szCs w:val="32"/>
          <w:shd w:val="clear" w:color="auto" w:fill="FFFFFF"/>
        </w:rPr>
        <w:t>濉溪县、各区人民政府，市政府各部门、各直属机构：</w:t>
      </w:r>
    </w:p>
    <w:p>
      <w:pPr>
        <w:pStyle w:val="14"/>
        <w:widowControl/>
        <w:spacing w:before="0" w:beforeAutospacing="0" w:after="0" w:afterAutospacing="0" w:line="580" w:lineRule="exact"/>
        <w:ind w:firstLine="640" w:firstLineChars="200"/>
        <w:jc w:val="both"/>
        <w:rPr>
          <w:rStyle w:val="21"/>
          <w:rFonts w:eastAsia="仿宋_GB2312"/>
          <w:b w:val="0"/>
          <w:sz w:val="32"/>
          <w:szCs w:val="32"/>
        </w:rPr>
      </w:pPr>
      <w:r>
        <w:rPr>
          <w:rFonts w:eastAsia="仿宋_GB2312"/>
          <w:sz w:val="32"/>
          <w:szCs w:val="32"/>
          <w:shd w:val="clear" w:color="auto" w:fill="FFFFFF"/>
        </w:rPr>
        <w:t>为全面贯彻落实省、市关于实施创新驱动发展、加大科技创新工作力度的部署要求，加快科技创新平台建设，</w:t>
      </w:r>
      <w:r>
        <w:rPr>
          <w:rStyle w:val="21"/>
          <w:rFonts w:eastAsia="仿宋_GB2312"/>
          <w:b w:val="0"/>
          <w:bCs w:val="0"/>
          <w:sz w:val="32"/>
          <w:szCs w:val="32"/>
        </w:rPr>
        <w:t>根据</w:t>
      </w:r>
      <w:r>
        <w:rPr>
          <w:rFonts w:eastAsia="仿宋_GB2312"/>
          <w:sz w:val="32"/>
          <w:szCs w:val="32"/>
          <w:shd w:val="clear" w:color="auto" w:fill="FFFFFF"/>
        </w:rPr>
        <w:t>《安徽省人民政府办公厅关于加快发展高水平新型研发机构的实施意见》（</w:t>
      </w:r>
      <w:r>
        <w:rPr>
          <w:rFonts w:eastAsia="仿宋_GB2312"/>
          <w:kern w:val="2"/>
          <w:sz w:val="32"/>
          <w:szCs w:val="32"/>
          <w:shd w:val="clear" w:color="auto" w:fill="FFFFFF"/>
        </w:rPr>
        <w:t>皖政办〔2022〕14号</w:t>
      </w:r>
      <w:r>
        <w:rPr>
          <w:rFonts w:eastAsia="仿宋_GB2312"/>
          <w:sz w:val="32"/>
          <w:szCs w:val="32"/>
          <w:shd w:val="clear" w:color="auto" w:fill="FFFFFF"/>
        </w:rPr>
        <w:t>）</w:t>
      </w:r>
      <w:r>
        <w:rPr>
          <w:rFonts w:hint="eastAsia" w:eastAsia="仿宋_GB2312"/>
          <w:sz w:val="32"/>
          <w:szCs w:val="32"/>
          <w:shd w:val="clear" w:color="auto" w:fill="FFFFFF"/>
        </w:rPr>
        <w:t>、《安徽省产业创新研究院建设行动实施方案（试行）》（皖科基地〔2023〕3号）和《安徽省级实验室体系重组行动实施方案（试行）》（皖科基地〔2023〕4号）等</w:t>
      </w:r>
      <w:r>
        <w:rPr>
          <w:rStyle w:val="21"/>
          <w:rFonts w:eastAsia="仿宋_GB2312"/>
          <w:b w:val="0"/>
          <w:bCs w:val="0"/>
          <w:sz w:val="32"/>
          <w:szCs w:val="32"/>
        </w:rPr>
        <w:t>文件精神，结合我市实际，提出以下实施意见。</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一、指导思想</w:t>
      </w:r>
    </w:p>
    <w:p>
      <w:pPr>
        <w:pStyle w:val="14"/>
        <w:widowControl/>
        <w:spacing w:before="0" w:beforeAutospacing="0" w:after="0" w:afterAutospacing="0" w:line="580" w:lineRule="exact"/>
        <w:ind w:firstLine="640" w:firstLineChars="200"/>
        <w:jc w:val="both"/>
        <w:rPr>
          <w:rFonts w:eastAsia="仿宋_GB2312"/>
          <w:bCs/>
          <w:sz w:val="32"/>
          <w:szCs w:val="32"/>
        </w:rPr>
      </w:pPr>
      <w:r>
        <w:rPr>
          <w:rFonts w:eastAsia="仿宋_GB2312"/>
          <w:sz w:val="32"/>
          <w:szCs w:val="32"/>
        </w:rPr>
        <w:t>以习近平新时代中国特色社会主义思想为指导，</w:t>
      </w:r>
      <w:r>
        <w:rPr>
          <w:rStyle w:val="21"/>
          <w:rFonts w:eastAsia="仿宋_GB2312"/>
          <w:b w:val="0"/>
          <w:bCs w:val="0"/>
          <w:sz w:val="32"/>
          <w:szCs w:val="32"/>
        </w:rPr>
        <w:t>深入贯彻落实党的二十大精神，以全面提高科技创新能力和增强区域竞争力为目标，</w:t>
      </w:r>
      <w:r>
        <w:rPr>
          <w:rFonts w:hAnsi="仿宋_GB2312" w:eastAsia="仿宋_GB2312"/>
          <w:kern w:val="2"/>
          <w:sz w:val="32"/>
          <w:szCs w:val="32"/>
        </w:rPr>
        <w:t>围绕我市主导产业、优势产业，以企业为主体、市场为导向，产学研深度融合，</w:t>
      </w:r>
      <w:r>
        <w:rPr>
          <w:rStyle w:val="21"/>
          <w:rFonts w:eastAsia="仿宋_GB2312"/>
          <w:b w:val="0"/>
          <w:bCs w:val="0"/>
          <w:sz w:val="32"/>
          <w:szCs w:val="32"/>
        </w:rPr>
        <w:t>优化科技资源配置，</w:t>
      </w:r>
      <w:r>
        <w:rPr>
          <w:rFonts w:hAnsi="仿宋_GB2312" w:eastAsia="仿宋_GB2312"/>
          <w:kern w:val="2"/>
          <w:sz w:val="32"/>
          <w:szCs w:val="32"/>
        </w:rPr>
        <w:t>集聚创新要素，</w:t>
      </w:r>
      <w:r>
        <w:rPr>
          <w:rStyle w:val="21"/>
          <w:rFonts w:eastAsia="仿宋_GB2312"/>
          <w:b w:val="0"/>
          <w:bCs w:val="0"/>
          <w:sz w:val="32"/>
          <w:szCs w:val="32"/>
        </w:rPr>
        <w:t>完善区域科技创新体制机制，提升科技创新平台质量内涵，建设和发展一批</w:t>
      </w:r>
      <w:r>
        <w:rPr>
          <w:rFonts w:hAnsi="仿宋_GB2312" w:eastAsia="仿宋_GB2312"/>
          <w:kern w:val="2"/>
          <w:sz w:val="32"/>
          <w:szCs w:val="32"/>
        </w:rPr>
        <w:t>高层次</w:t>
      </w:r>
      <w:r>
        <w:rPr>
          <w:rFonts w:eastAsia="仿宋_GB2312"/>
          <w:kern w:val="2"/>
          <w:sz w:val="32"/>
          <w:szCs w:val="32"/>
          <w:shd w:val="clear" w:color="auto" w:fill="FFFFFF"/>
        </w:rPr>
        <w:t>、高水平</w:t>
      </w:r>
      <w:r>
        <w:rPr>
          <w:rStyle w:val="21"/>
          <w:rFonts w:eastAsia="仿宋_GB2312"/>
          <w:b w:val="0"/>
          <w:bCs w:val="0"/>
          <w:sz w:val="32"/>
          <w:szCs w:val="32"/>
        </w:rPr>
        <w:t>科技创新平台，壮大科技平台数量规模，构建适应我市产业发展需求的科技平台支撑体系，为全市经济社会高质量发展提供更加坚实的平台支撑。</w:t>
      </w:r>
    </w:p>
    <w:p>
      <w:pPr>
        <w:pStyle w:val="14"/>
        <w:spacing w:before="0" w:beforeAutospacing="0" w:after="0" w:afterAutospacing="0" w:line="580" w:lineRule="exact"/>
        <w:ind w:firstLine="640" w:firstLineChars="200"/>
        <w:jc w:val="both"/>
        <w:rPr>
          <w:rStyle w:val="21"/>
          <w:rFonts w:ascii="黑体" w:hAnsi="黑体" w:eastAsia="黑体"/>
          <w:b w:val="0"/>
          <w:bCs w:val="0"/>
          <w:sz w:val="32"/>
          <w:szCs w:val="32"/>
        </w:rPr>
      </w:pPr>
      <w:r>
        <w:rPr>
          <w:rStyle w:val="21"/>
          <w:rFonts w:ascii="黑体" w:hAnsi="黑体" w:eastAsia="黑体"/>
          <w:b w:val="0"/>
          <w:bCs w:val="0"/>
          <w:sz w:val="32"/>
          <w:szCs w:val="32"/>
        </w:rPr>
        <w:t>二、总体目标</w:t>
      </w:r>
    </w:p>
    <w:p>
      <w:pPr>
        <w:pStyle w:val="14"/>
        <w:spacing w:before="0" w:beforeAutospacing="0" w:after="0" w:afterAutospacing="0" w:line="580" w:lineRule="exact"/>
        <w:ind w:firstLine="640" w:firstLineChars="200"/>
        <w:jc w:val="both"/>
        <w:rPr>
          <w:rFonts w:eastAsia="仿宋_GB2312"/>
          <w:sz w:val="32"/>
          <w:szCs w:val="32"/>
        </w:rPr>
      </w:pPr>
      <w:r>
        <w:rPr>
          <w:rFonts w:eastAsia="仿宋_GB2312"/>
          <w:sz w:val="32"/>
          <w:szCs w:val="32"/>
          <w:shd w:val="clear" w:color="auto" w:fill="FFFFFF"/>
        </w:rPr>
        <w:t>聚焦传统产业转型升级、新兴产业培育壮大、未来产业谋篇布局，</w:t>
      </w:r>
      <w:r>
        <w:rPr>
          <w:rFonts w:eastAsia="仿宋_GB2312"/>
          <w:bCs/>
          <w:sz w:val="32"/>
          <w:szCs w:val="32"/>
        </w:rPr>
        <w:t>实施“</w:t>
      </w:r>
      <w:r>
        <w:rPr>
          <w:rFonts w:eastAsia="仿宋_GB2312"/>
          <w:bCs/>
          <w:sz w:val="32"/>
          <w:szCs w:val="32"/>
          <w:lang w:val="zh-CN"/>
        </w:rPr>
        <w:t>一室（重点实验室）一院（产业研究院）一中心（企业研发中心）”创新平台建设和</w:t>
      </w:r>
      <w:r>
        <w:rPr>
          <w:rFonts w:eastAsia="仿宋_GB2312"/>
          <w:sz w:val="32"/>
          <w:szCs w:val="32"/>
          <w:shd w:val="clear" w:color="auto" w:fill="FFFFFF"/>
        </w:rPr>
        <w:t>新型研发机构培育行动，扩量提质，</w:t>
      </w:r>
      <w:r>
        <w:rPr>
          <w:rFonts w:hAnsi="仿宋_GB2312" w:eastAsia="仿宋_GB2312"/>
          <w:kern w:val="2"/>
          <w:sz w:val="32"/>
          <w:szCs w:val="32"/>
        </w:rPr>
        <w:t>构建点</w:t>
      </w:r>
      <w:r>
        <w:rPr>
          <w:rFonts w:eastAsia="仿宋_GB2312"/>
          <w:bCs/>
          <w:sz w:val="32"/>
          <w:szCs w:val="32"/>
          <w:lang w:val="zh-CN"/>
        </w:rPr>
        <w:t>面结合、布局合理、定位清晰、运行高效的科技创新平台体系。到2025年，全市科技创新平台数量显著增加，新建和重塑重点实验室、产业研究院、企业研发中心、新型研发机构总数不少于100家，其中，省级以上不少于15家，实现</w:t>
      </w:r>
      <w:r>
        <w:rPr>
          <w:rFonts w:hAnsi="仿宋_GB2312" w:eastAsia="仿宋_GB2312"/>
          <w:kern w:val="2"/>
          <w:sz w:val="32"/>
          <w:szCs w:val="32"/>
        </w:rPr>
        <w:t>主导产业、优势产业</w:t>
      </w:r>
      <w:r>
        <w:rPr>
          <w:rFonts w:eastAsia="仿宋_GB2312"/>
          <w:sz w:val="32"/>
          <w:szCs w:val="32"/>
          <w:shd w:val="clear" w:color="auto" w:fill="FFFFFF"/>
        </w:rPr>
        <w:t>全覆盖。</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三、构建新型科技创新平台体系</w:t>
      </w:r>
    </w:p>
    <w:p>
      <w:pPr>
        <w:widowControl/>
        <w:spacing w:line="580" w:lineRule="exact"/>
        <w:ind w:firstLine="640" w:firstLineChars="200"/>
        <w:rPr>
          <w:rFonts w:eastAsia="仿宋_GB2312"/>
          <w:kern w:val="0"/>
          <w:sz w:val="32"/>
          <w:szCs w:val="32"/>
        </w:rPr>
      </w:pPr>
      <w:r>
        <w:rPr>
          <w:rFonts w:eastAsia="仿宋_GB2312"/>
          <w:kern w:val="0"/>
          <w:sz w:val="32"/>
          <w:szCs w:val="32"/>
        </w:rPr>
        <w:t>围绕我市重点发展产业和特色优势产业（学科），</w:t>
      </w:r>
      <w:r>
        <w:rPr>
          <w:rFonts w:hint="eastAsia" w:eastAsia="仿宋_GB2312"/>
          <w:kern w:val="0"/>
          <w:sz w:val="32"/>
          <w:szCs w:val="32"/>
        </w:rPr>
        <w:t>支持</w:t>
      </w:r>
      <w:r>
        <w:rPr>
          <w:rFonts w:eastAsia="仿宋_GB2312"/>
          <w:kern w:val="0"/>
          <w:sz w:val="32"/>
          <w:szCs w:val="32"/>
        </w:rPr>
        <w:t>科技实力较强的企事业单位，自建或联合高校院所，以技术研发、成果转化为重点，布局建设新型科技创新平台体系，包括重点实验室、产业研究院、</w:t>
      </w:r>
      <w:r>
        <w:rPr>
          <w:rFonts w:eastAsia="仿宋_GB2312"/>
          <w:sz w:val="32"/>
          <w:szCs w:val="32"/>
        </w:rPr>
        <w:t>企业研发中心</w:t>
      </w:r>
      <w:r>
        <w:rPr>
          <w:rFonts w:eastAsia="仿宋_GB2312"/>
          <w:kern w:val="0"/>
          <w:sz w:val="32"/>
          <w:szCs w:val="32"/>
        </w:rPr>
        <w:t>和新型研发机构。</w:t>
      </w:r>
    </w:p>
    <w:p>
      <w:pPr>
        <w:widowControl/>
        <w:spacing w:line="580" w:lineRule="exact"/>
        <w:ind w:firstLine="643" w:firstLineChars="200"/>
        <w:rPr>
          <w:rFonts w:eastAsia="仿宋_GB2312"/>
          <w:kern w:val="0"/>
          <w:sz w:val="32"/>
          <w:szCs w:val="32"/>
          <w:shd w:val="clear" w:color="auto" w:fill="FFFFFF"/>
        </w:rPr>
      </w:pPr>
      <w:r>
        <w:rPr>
          <w:rFonts w:hint="eastAsia" w:ascii="楷体_GB2312" w:eastAsia="楷体_GB2312"/>
          <w:b/>
          <w:sz w:val="32"/>
          <w:szCs w:val="32"/>
        </w:rPr>
        <w:t>（一）重点实验室：</w:t>
      </w:r>
      <w:r>
        <w:rPr>
          <w:rFonts w:eastAsia="仿宋_GB2312"/>
          <w:kern w:val="0"/>
          <w:sz w:val="32"/>
          <w:szCs w:val="32"/>
          <w:shd w:val="clear" w:color="auto" w:fill="FFFFFF"/>
        </w:rPr>
        <w:t>面向学科前沿和经济社会发展重要科技领域及方向，是开展以基础研究、应用基础研究和关键共性技术研究为主的创新性研究，开展学术交流、聚集和培养优秀科学研究和工程技术人员，引领支撑学科发展，推动技术转移扩散，开展产业（学科）科技合作与交流的重要科技创新基地。</w:t>
      </w:r>
    </w:p>
    <w:p>
      <w:pPr>
        <w:pStyle w:val="14"/>
        <w:shd w:val="clear" w:color="auto" w:fill="FFFFFF"/>
        <w:spacing w:before="0" w:beforeAutospacing="0" w:after="0" w:afterAutospacing="0" w:line="580" w:lineRule="exact"/>
        <w:ind w:firstLine="643" w:firstLineChars="200"/>
        <w:jc w:val="both"/>
        <w:rPr>
          <w:rFonts w:eastAsia="仿宋_GB2312"/>
          <w:sz w:val="32"/>
          <w:szCs w:val="32"/>
          <w:shd w:val="clear" w:color="auto" w:fill="FFFFFF"/>
        </w:rPr>
      </w:pPr>
      <w:r>
        <w:rPr>
          <w:rFonts w:hint="eastAsia" w:ascii="楷体_GB2312" w:eastAsia="楷体_GB2312"/>
          <w:b/>
          <w:kern w:val="2"/>
          <w:sz w:val="32"/>
          <w:szCs w:val="32"/>
        </w:rPr>
        <w:t>（二）产业研究院：</w:t>
      </w:r>
      <w:r>
        <w:rPr>
          <w:rFonts w:eastAsia="仿宋_GB2312"/>
          <w:sz w:val="32"/>
          <w:szCs w:val="32"/>
          <w:shd w:val="clear" w:color="auto" w:fill="FFFFFF"/>
        </w:rPr>
        <w:t>围绕重点产业创新发展需求，以引领支撑产业技术进步、服务行业创新发展为目的，是集科技成果研发、中试、转化、孵化为一体的“体系化、任务型、市场化、开放式”综合性科技创新平台，是高水平新型研发机构的重要形式。</w:t>
      </w:r>
    </w:p>
    <w:p>
      <w:pPr>
        <w:pStyle w:val="14"/>
        <w:shd w:val="clear" w:color="auto" w:fill="FFFFFF"/>
        <w:spacing w:before="0" w:beforeAutospacing="0" w:after="0" w:afterAutospacing="0" w:line="580" w:lineRule="exact"/>
        <w:ind w:firstLine="643" w:firstLineChars="200"/>
        <w:jc w:val="both"/>
        <w:rPr>
          <w:rFonts w:eastAsia="仿宋_GB2312"/>
          <w:kern w:val="2"/>
          <w:sz w:val="32"/>
          <w:szCs w:val="32"/>
        </w:rPr>
      </w:pPr>
      <w:r>
        <w:rPr>
          <w:rFonts w:hint="eastAsia" w:ascii="楷体_GB2312" w:eastAsia="楷体_GB2312"/>
          <w:b/>
          <w:kern w:val="2"/>
          <w:sz w:val="32"/>
          <w:szCs w:val="32"/>
        </w:rPr>
        <w:t>（三）企业研发中心：</w:t>
      </w:r>
      <w:r>
        <w:rPr>
          <w:rFonts w:hint="eastAsia" w:eastAsia="仿宋_GB2312"/>
          <w:sz w:val="32"/>
          <w:szCs w:val="32"/>
        </w:rPr>
        <w:t>主要从事与企业主营业务相关的研究与开发、科技成果转化产业化应用等活动，</w:t>
      </w:r>
      <w:r>
        <w:rPr>
          <w:rFonts w:eastAsia="仿宋_GB2312"/>
          <w:sz w:val="32"/>
          <w:szCs w:val="32"/>
        </w:rPr>
        <w:t>是</w:t>
      </w:r>
      <w:r>
        <w:rPr>
          <w:rFonts w:hint="eastAsia" w:eastAsia="仿宋_GB2312"/>
          <w:sz w:val="32"/>
          <w:szCs w:val="32"/>
        </w:rPr>
        <w:t>科技创新平台</w:t>
      </w:r>
      <w:r>
        <w:rPr>
          <w:rFonts w:eastAsia="仿宋_GB2312"/>
          <w:sz w:val="32"/>
          <w:szCs w:val="32"/>
        </w:rPr>
        <w:t>体系的</w:t>
      </w:r>
      <w:r>
        <w:rPr>
          <w:rFonts w:hint="eastAsia" w:eastAsia="仿宋_GB2312"/>
          <w:sz w:val="32"/>
          <w:szCs w:val="32"/>
        </w:rPr>
        <w:t>重要力量，是设在企业内部相对独立的科技研发机构。</w:t>
      </w:r>
    </w:p>
    <w:p>
      <w:pPr>
        <w:widowControl/>
        <w:spacing w:line="580" w:lineRule="exact"/>
        <w:ind w:firstLine="643" w:firstLineChars="200"/>
        <w:rPr>
          <w:rFonts w:eastAsia="仿宋_GB2312"/>
          <w:kern w:val="0"/>
          <w:sz w:val="32"/>
          <w:szCs w:val="32"/>
        </w:rPr>
      </w:pPr>
      <w:r>
        <w:rPr>
          <w:rFonts w:hint="eastAsia" w:ascii="楷体_GB2312" w:eastAsia="楷体_GB2312"/>
          <w:b/>
          <w:sz w:val="32"/>
          <w:szCs w:val="32"/>
        </w:rPr>
        <w:t>（四）新型研发机构：</w:t>
      </w:r>
      <w:r>
        <w:rPr>
          <w:rFonts w:eastAsia="仿宋_GB2312"/>
          <w:kern w:val="0"/>
          <w:sz w:val="32"/>
          <w:szCs w:val="32"/>
        </w:rPr>
        <w:t>是聚焦科技创新需求，主要从事科学研究、技术创新和研发服务，投资主体多元化、管理制度现代化、运行机制市场化、用人机制灵活的独立法人机构。</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 xml:space="preserve">四、重点任务 </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sz w:val="32"/>
          <w:szCs w:val="32"/>
        </w:rPr>
      </w:pPr>
      <w:r>
        <w:rPr>
          <w:rFonts w:hint="eastAsia" w:ascii="楷体_GB2312" w:eastAsia="楷体_GB2312"/>
          <w:b/>
          <w:sz w:val="32"/>
          <w:szCs w:val="32"/>
        </w:rPr>
        <w:t>（一）构筑高能级科技创新平台</w:t>
      </w:r>
    </w:p>
    <w:p>
      <w:pPr>
        <w:pStyle w:val="14"/>
        <w:widowControl/>
        <w:shd w:val="clear" w:color="auto" w:fill="FFFFFF"/>
        <w:spacing w:before="0" w:beforeAutospacing="0" w:after="0" w:afterAutospacing="0" w:line="580" w:lineRule="exact"/>
        <w:ind w:firstLine="640" w:firstLineChars="200"/>
        <w:jc w:val="both"/>
        <w:rPr>
          <w:rFonts w:eastAsia="仿宋_GB2312"/>
          <w:sz w:val="32"/>
          <w:szCs w:val="32"/>
        </w:rPr>
      </w:pPr>
      <w:r>
        <w:rPr>
          <w:rFonts w:eastAsia="仿宋_GB2312"/>
          <w:sz w:val="32"/>
          <w:szCs w:val="32"/>
        </w:rPr>
        <w:t>聚焦国家战略目标、我省重大需求和我市产业创新发展需求，融入国家和省科技创新平台建设体系。在先进高分子结构材料、陶铝及铝基材料、生物医药、智能高端装备制造、新能源、节能环保、人工智能、新材料、新型煤化工等领域支持争创省级重点实验室、产业研究院、企业研发中心等科技创新平台。加快谋划布局一批高能级创新平台，支持现有省级重点实验室优化提升，支持骨干企业对标参与全国重点实验室重组。到2025年，争创省级重点实验室5家、省级产业研究院2家、省级企业研发中心</w:t>
      </w:r>
      <w:r>
        <w:rPr>
          <w:rFonts w:hint="eastAsia" w:eastAsia="仿宋_GB2312"/>
          <w:sz w:val="32"/>
          <w:szCs w:val="32"/>
        </w:rPr>
        <w:t>8</w:t>
      </w:r>
      <w:r>
        <w:rPr>
          <w:rFonts w:eastAsia="仿宋_GB2312"/>
          <w:sz w:val="32"/>
          <w:szCs w:val="32"/>
        </w:rPr>
        <w:t>家。</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sz w:val="32"/>
          <w:szCs w:val="32"/>
        </w:rPr>
      </w:pPr>
      <w:r>
        <w:rPr>
          <w:rFonts w:hint="eastAsia" w:ascii="楷体_GB2312" w:eastAsia="楷体_GB2312"/>
          <w:b/>
          <w:sz w:val="32"/>
          <w:szCs w:val="32"/>
        </w:rPr>
        <w:t>（二）支持建设新型研发机构</w:t>
      </w:r>
    </w:p>
    <w:p>
      <w:pPr>
        <w:pStyle w:val="13"/>
        <w:spacing w:line="58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对接、引进省内外知名高校、国家级科研机构、中央企业和地方大型国有企业、世界500强企业等来淮单独设立新型研发机构，或与我市企业、高校、科研院所等合作建设新型研发机构。鼓励支持行业龙头企业、骨干企业联合高校、科研院所建立产学研用协同推进机制，设立以应用技术研究为重点的独立法人新型研发机构，组织开展成果中试熟化研发、科技成果转化、中小企业孵化，为行业企业和产业体系提供服务，打造投资主体多元化、管理制度现代化、运行机制市场化、用人机制灵活的新型创新主体，推进新型研发机构高水平发展。支持企事业单位在淮北市域外高端人才富集、科研机构众多的国内外城市，建立研发机构和专家工作站等“人才飞地”，开展招才引智工作，共享创新资源。到2025年，引进、组建新型研发机构5家，争创省级新型研发机构2家，设立</w:t>
      </w:r>
      <w:r>
        <w:rPr>
          <w:rFonts w:hint="eastAsia" w:ascii="Times New Roman" w:hAnsi="Times New Roman" w:eastAsia="仿宋_GB2312" w:cs="Times New Roman"/>
          <w:sz w:val="32"/>
          <w:szCs w:val="32"/>
        </w:rPr>
        <w:t>市级</w:t>
      </w:r>
      <w:r>
        <w:rPr>
          <w:rFonts w:ascii="Times New Roman" w:hAnsi="Times New Roman" w:eastAsia="仿宋_GB2312" w:cs="Times New Roman"/>
          <w:sz w:val="32"/>
          <w:szCs w:val="32"/>
        </w:rPr>
        <w:t>人才飞地8家。</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sz w:val="32"/>
          <w:szCs w:val="32"/>
        </w:rPr>
      </w:pPr>
      <w:r>
        <w:rPr>
          <w:rFonts w:hint="eastAsia" w:ascii="楷体_GB2312" w:eastAsia="楷体_GB2312"/>
          <w:b/>
          <w:sz w:val="32"/>
          <w:szCs w:val="32"/>
        </w:rPr>
        <w:t>（三）加快培育市级科技创新平台</w:t>
      </w:r>
    </w:p>
    <w:p>
      <w:pPr>
        <w:pStyle w:val="14"/>
        <w:widowControl/>
        <w:shd w:val="clear" w:color="auto" w:fill="FFFFFF"/>
        <w:spacing w:before="0" w:beforeAutospacing="0" w:after="0" w:afterAutospacing="0" w:line="580" w:lineRule="exact"/>
        <w:ind w:firstLine="640" w:firstLineChars="200"/>
        <w:jc w:val="both"/>
        <w:rPr>
          <w:rFonts w:eastAsia="仿宋_GB2312"/>
          <w:sz w:val="32"/>
          <w:szCs w:val="32"/>
        </w:rPr>
      </w:pPr>
      <w:r>
        <w:rPr>
          <w:rFonts w:eastAsia="仿宋_GB2312"/>
          <w:sz w:val="32"/>
          <w:szCs w:val="32"/>
        </w:rPr>
        <w:t>围绕淮北优势产业和战略新兴产业，结合工业、农业、林业、教育、卫生健康、环保安全等领域需求，增设、建设一批市级重点实验室、产业研究院和企业研发中心等市级科技创新平台，制定相应的认定管理办法和绩效评价办法，力争在具有特色和优势的关键领域实现创新平台建设的量变和质变。积极指导推动企事业单位申报建设市级各类科技创新平台，组织指导其对照相应省级平台标准逐步升级，提高市级创新平台的建设质量和数量，进一步壮大省级创新平台的后备建设力量。到2025年，建设市级重点实验室10家</w:t>
      </w:r>
      <w:r>
        <w:rPr>
          <w:rFonts w:hint="eastAsia" w:eastAsia="仿宋_GB2312"/>
          <w:sz w:val="32"/>
          <w:szCs w:val="32"/>
        </w:rPr>
        <w:t>以上</w:t>
      </w:r>
      <w:r>
        <w:rPr>
          <w:rFonts w:eastAsia="仿宋_GB2312"/>
          <w:sz w:val="32"/>
          <w:szCs w:val="32"/>
        </w:rPr>
        <w:t>、市级产业研究院5家</w:t>
      </w:r>
      <w:r>
        <w:rPr>
          <w:rFonts w:hint="eastAsia" w:eastAsia="仿宋_GB2312"/>
          <w:sz w:val="32"/>
          <w:szCs w:val="32"/>
        </w:rPr>
        <w:t>以上</w:t>
      </w:r>
      <w:r>
        <w:rPr>
          <w:rFonts w:eastAsia="仿宋_GB2312"/>
          <w:sz w:val="32"/>
          <w:szCs w:val="32"/>
        </w:rPr>
        <w:t>、市级企业研发中心70家</w:t>
      </w:r>
      <w:r>
        <w:rPr>
          <w:rFonts w:hint="eastAsia" w:eastAsia="仿宋_GB2312"/>
          <w:sz w:val="32"/>
          <w:szCs w:val="32"/>
        </w:rPr>
        <w:t>以上</w:t>
      </w:r>
      <w:r>
        <w:rPr>
          <w:rFonts w:eastAsia="仿宋_GB2312"/>
          <w:sz w:val="32"/>
          <w:szCs w:val="32"/>
        </w:rPr>
        <w:t>。</w:t>
      </w:r>
    </w:p>
    <w:p>
      <w:pPr>
        <w:pStyle w:val="14"/>
        <w:widowControl/>
        <w:shd w:val="clear" w:color="auto" w:fill="FFFFFF"/>
        <w:spacing w:before="0" w:beforeAutospacing="0" w:after="0" w:afterAutospacing="0" w:line="580" w:lineRule="exact"/>
        <w:ind w:firstLine="643" w:firstLineChars="200"/>
        <w:jc w:val="both"/>
        <w:rPr>
          <w:rFonts w:ascii="楷体_GB2312" w:eastAsia="楷体_GB2312"/>
          <w:b/>
          <w:kern w:val="2"/>
          <w:sz w:val="32"/>
          <w:szCs w:val="32"/>
          <w:shd w:val="clear" w:color="auto" w:fill="FFFFFF"/>
        </w:rPr>
      </w:pPr>
      <w:r>
        <w:rPr>
          <w:rFonts w:ascii="楷体_GB2312" w:eastAsia="楷体_GB2312"/>
          <w:b/>
          <w:kern w:val="2"/>
          <w:sz w:val="32"/>
          <w:szCs w:val="32"/>
          <w:shd w:val="clear" w:color="auto" w:fill="FFFFFF"/>
        </w:rPr>
        <w:t>（四）壮大科技创新平台后备力量</w:t>
      </w:r>
    </w:p>
    <w:p>
      <w:pPr>
        <w:pStyle w:val="14"/>
        <w:widowControl/>
        <w:shd w:val="clear" w:color="auto" w:fill="FFFFFF"/>
        <w:spacing w:before="0" w:beforeAutospacing="0" w:after="0" w:afterAutospacing="0" w:line="580" w:lineRule="exact"/>
        <w:ind w:firstLine="640" w:firstLineChars="200"/>
        <w:jc w:val="both"/>
        <w:rPr>
          <w:rFonts w:eastAsia="仿宋_GB2312"/>
          <w:sz w:val="32"/>
          <w:szCs w:val="32"/>
        </w:rPr>
      </w:pPr>
      <w:r>
        <w:rPr>
          <w:rFonts w:eastAsia="仿宋_GB2312"/>
          <w:sz w:val="32"/>
          <w:szCs w:val="32"/>
        </w:rPr>
        <w:t>对未建设科技创新平台的企事业单位，鼓励其结合自身发展需求，加强产学研合作，按照“有研发场地、有研发人员、有研发经费、有研发设备、有研发活动”的标准，在单位内部建设各种形式的科研机构，推动规上工业企业研发活动和研发机构全覆盖，并参照市级科技创新平台规范管理，逐步提质升级。支持企事业单位内部研究机构升级建设市级创新平台。加强帮扶指导，推动企业内部机构、市级科技创新平台向上对标、逐步升级，争取更多创新平台纳入国家和省级名单，打造创新平台梯次建设升级机制，系统推进高水平、高层次和高质量科技创新平台建设。</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五、支持举措</w:t>
      </w:r>
    </w:p>
    <w:p>
      <w:pPr>
        <w:spacing w:line="580" w:lineRule="exact"/>
        <w:ind w:firstLine="643" w:firstLineChars="200"/>
        <w:rPr>
          <w:rFonts w:hint="eastAsia" w:ascii="楷体_GB2312" w:eastAsia="楷体_GB2312"/>
          <w:sz w:val="32"/>
          <w:szCs w:val="32"/>
          <w:shd w:val="clear" w:color="auto" w:fill="FFFFFF"/>
        </w:rPr>
      </w:pPr>
      <w:r>
        <w:rPr>
          <w:rFonts w:ascii="楷体_GB2312" w:eastAsia="楷体_GB2312"/>
          <w:b/>
          <w:sz w:val="32"/>
          <w:szCs w:val="32"/>
          <w:shd w:val="clear" w:color="auto" w:fill="FFFFFF"/>
        </w:rPr>
        <w:t>（一）财政支持。</w:t>
      </w:r>
      <w:r>
        <w:rPr>
          <w:rFonts w:eastAsia="仿宋_GB2312"/>
          <w:sz w:val="32"/>
          <w:szCs w:val="32"/>
          <w:shd w:val="clear" w:color="auto" w:fill="FFFFFF"/>
        </w:rPr>
        <w:t>按照国家、省、市布局科技创新平台方向，加大对科技创新平台的政策支持。1、支持新型研发机构建设。围绕“五群十链”产业，建设产业研究院、先进技术研究院等新型研发机构，成效显著的“一事一议”给予奖励扶持。对通过认定的省产业研究院、省新型研发机构给予建设补助；对省产业研究院、省新型研发机构，给予其当年新增研发仪器设备投入额资助。以上资助不重复享受。2、支持企业研发机构能级提升。企业新认定（备案）的省实验室、省技术创新中心、省重点实验室、省企业研发中心，分别给予奖励；获国家级相应称号的“一事一议”给予奖励。3、推进市级科技创新平台建设。开展市重点实验室、市企业研发中心和市产业研究院等市级科技创新平台认定和绩效评价，绩效评价优秀的，分别给</w:t>
      </w:r>
      <w:r>
        <w:rPr>
          <w:rFonts w:hint="eastAsia" w:eastAsia="仿宋_GB2312"/>
          <w:sz w:val="32"/>
          <w:szCs w:val="32"/>
          <w:shd w:val="clear" w:color="auto" w:fill="FFFFFF"/>
        </w:rPr>
        <w:t>予</w:t>
      </w:r>
      <w:r>
        <w:rPr>
          <w:rFonts w:eastAsia="仿宋_GB2312"/>
          <w:sz w:val="32"/>
          <w:szCs w:val="32"/>
          <w:shd w:val="clear" w:color="auto" w:fill="FFFFFF"/>
        </w:rPr>
        <w:t>一次性奖励。4、鼓励企业在市外设立“人才飞地”。我市企业在市外创新资源集聚地区设立研发机构、专家工作站等“人才飞地”的，经市科技局认定后，</w:t>
      </w:r>
      <w:r>
        <w:rPr>
          <w:rFonts w:hint="eastAsia" w:eastAsia="仿宋_GB2312"/>
          <w:sz w:val="32"/>
          <w:szCs w:val="32"/>
          <w:shd w:val="clear" w:color="auto" w:fill="FFFFFF"/>
        </w:rPr>
        <w:t>根据我市免审即享兑现流程，</w:t>
      </w:r>
      <w:r>
        <w:rPr>
          <w:rFonts w:eastAsia="仿宋_GB2312"/>
          <w:sz w:val="32"/>
          <w:szCs w:val="32"/>
          <w:shd w:val="clear" w:color="auto" w:fill="FFFFFF"/>
        </w:rPr>
        <w:t>分别给予资助。</w:t>
      </w:r>
      <w:r>
        <w:rPr>
          <w:rFonts w:hint="eastAsia" w:ascii="楷体_GB2312" w:eastAsia="楷体_GB2312"/>
          <w:sz w:val="32"/>
          <w:szCs w:val="32"/>
          <w:shd w:val="clear" w:color="auto" w:fill="FFFFFF"/>
        </w:rPr>
        <w:t>（</w:t>
      </w:r>
      <w:r>
        <w:rPr>
          <w:rFonts w:hint="eastAsia" w:ascii="楷体_GB2312" w:eastAsia="楷体_GB2312"/>
          <w:bCs/>
          <w:sz w:val="32"/>
          <w:szCs w:val="32"/>
          <w:shd w:val="clear" w:color="auto" w:fill="FFFFFF"/>
        </w:rPr>
        <w:t>牵头单位：</w:t>
      </w:r>
      <w:r>
        <w:rPr>
          <w:rFonts w:hint="eastAsia" w:ascii="楷体_GB2312" w:eastAsia="楷体_GB2312"/>
          <w:sz w:val="32"/>
          <w:szCs w:val="32"/>
          <w:shd w:val="clear" w:color="auto" w:fill="FFFFFF"/>
        </w:rPr>
        <w:t>市财政局、科技局）</w:t>
      </w:r>
    </w:p>
    <w:p>
      <w:pPr>
        <w:pStyle w:val="14"/>
        <w:widowControl/>
        <w:spacing w:before="0" w:beforeAutospacing="0" w:after="0" w:afterAutospacing="0" w:line="580" w:lineRule="exact"/>
        <w:ind w:firstLine="643" w:firstLineChars="200"/>
        <w:jc w:val="both"/>
        <w:rPr>
          <w:rFonts w:hint="eastAsia" w:ascii="楷体_GB2312" w:eastAsia="楷体_GB2312"/>
          <w:sz w:val="32"/>
          <w:szCs w:val="32"/>
        </w:rPr>
      </w:pPr>
      <w:r>
        <w:rPr>
          <w:rFonts w:ascii="楷体_GB2312" w:eastAsia="楷体_GB2312"/>
          <w:b/>
          <w:kern w:val="2"/>
          <w:sz w:val="32"/>
          <w:szCs w:val="32"/>
          <w:shd w:val="clear" w:color="auto" w:fill="FFFFFF"/>
        </w:rPr>
        <w:t>（二）人才支持。</w:t>
      </w:r>
      <w:r>
        <w:rPr>
          <w:rFonts w:eastAsia="仿宋_GB2312"/>
          <w:sz w:val="32"/>
          <w:szCs w:val="32"/>
          <w:shd w:val="clear" w:color="auto" w:fill="FFFFFF"/>
        </w:rPr>
        <w:t>对科技创新平台引进的专家、博士、硕士等高层次专业技术人才，</w:t>
      </w:r>
      <w:r>
        <w:rPr>
          <w:rFonts w:hint="eastAsia" w:eastAsia="仿宋_GB2312"/>
          <w:sz w:val="32"/>
          <w:szCs w:val="32"/>
          <w:shd w:val="clear" w:color="auto" w:fill="FFFFFF"/>
        </w:rPr>
        <w:t>可参照民营企业人才</w:t>
      </w:r>
      <w:r>
        <w:rPr>
          <w:rFonts w:eastAsia="仿宋_GB2312"/>
          <w:sz w:val="32"/>
          <w:szCs w:val="32"/>
          <w:shd w:val="clear" w:color="auto" w:fill="FFFFFF"/>
        </w:rPr>
        <w:t>享受淮北市人才政策，优先推荐申报国家、省、市人才计划。鼓励事业单位委派科研人员、技术转移转化人员在新型研发机构兼职取酬，获得的收入计入本单位绩效工资总量，不受总量限制，不计入下一年度绩效工资总量基数。在高水平新型研发机构作出突出贡献的科研人员，可参评政府特殊津贴，</w:t>
      </w:r>
      <w:r>
        <w:rPr>
          <w:rFonts w:hint="eastAsia" w:eastAsia="仿宋_GB2312"/>
          <w:sz w:val="32"/>
          <w:szCs w:val="32"/>
          <w:shd w:val="clear" w:color="auto" w:fill="FFFFFF"/>
        </w:rPr>
        <w:t>符合条件的</w:t>
      </w:r>
      <w:r>
        <w:rPr>
          <w:rFonts w:eastAsia="仿宋_GB2312"/>
          <w:sz w:val="32"/>
          <w:szCs w:val="32"/>
          <w:shd w:val="clear" w:color="auto" w:fill="FFFFFF"/>
        </w:rPr>
        <w:t>直接申报绿色通道高级专业技术职称，按规定予以褒扬激励。（</w:t>
      </w:r>
      <w:r>
        <w:rPr>
          <w:rFonts w:eastAsia="仿宋_GB2312"/>
          <w:bCs/>
          <w:sz w:val="32"/>
          <w:szCs w:val="32"/>
          <w:shd w:val="clear" w:color="auto" w:fill="FFFFFF"/>
        </w:rPr>
        <w:t>牵头单位：</w:t>
      </w:r>
      <w:r>
        <w:rPr>
          <w:rFonts w:eastAsia="仿宋_GB2312"/>
          <w:sz w:val="32"/>
          <w:szCs w:val="32"/>
          <w:shd w:val="clear" w:color="auto" w:fill="FFFFFF"/>
        </w:rPr>
        <w:t>市人力资源社会保障局）对新引进的科技人才，落实当地生活安居补助，帮助解决配偶就业、子女入学、医疗保健、住房保障等问题。支持利用自有土地建设保障性住房，配套建设医院、学校、公交等设施，建立15分钟生活圈。</w:t>
      </w:r>
      <w:r>
        <w:rPr>
          <w:rFonts w:hint="eastAsia" w:ascii="楷体_GB2312" w:eastAsia="楷体_GB2312"/>
          <w:sz w:val="32"/>
          <w:szCs w:val="32"/>
          <w:shd w:val="clear" w:color="auto" w:fill="FFFFFF"/>
        </w:rPr>
        <w:t>（</w:t>
      </w:r>
      <w:r>
        <w:rPr>
          <w:rFonts w:hint="eastAsia" w:ascii="楷体_GB2312" w:eastAsia="楷体_GB2312"/>
          <w:bCs/>
          <w:sz w:val="32"/>
          <w:szCs w:val="32"/>
          <w:shd w:val="clear" w:color="auto" w:fill="FFFFFF"/>
        </w:rPr>
        <w:t>牵头单位：</w:t>
      </w:r>
      <w:r>
        <w:rPr>
          <w:rFonts w:hint="eastAsia" w:ascii="楷体_GB2312" w:eastAsia="楷体_GB2312"/>
          <w:sz w:val="32"/>
          <w:szCs w:val="32"/>
          <w:shd w:val="clear" w:color="auto" w:fill="FFFFFF"/>
        </w:rPr>
        <w:t>各县区人民政府、各园区管委会）</w:t>
      </w:r>
    </w:p>
    <w:p>
      <w:pPr>
        <w:pStyle w:val="14"/>
        <w:widowControl/>
        <w:spacing w:before="0" w:beforeAutospacing="0" w:after="0" w:afterAutospacing="0" w:line="580" w:lineRule="exact"/>
        <w:ind w:firstLine="643" w:firstLineChars="200"/>
        <w:jc w:val="both"/>
        <w:rPr>
          <w:rFonts w:hint="eastAsia" w:ascii="楷体_GB2312" w:eastAsia="楷体_GB2312"/>
          <w:sz w:val="32"/>
          <w:szCs w:val="32"/>
        </w:rPr>
      </w:pPr>
      <w:r>
        <w:rPr>
          <w:rFonts w:ascii="楷体_GB2312" w:eastAsia="楷体_GB2312"/>
          <w:b/>
          <w:kern w:val="2"/>
          <w:sz w:val="32"/>
          <w:szCs w:val="32"/>
          <w:shd w:val="clear" w:color="auto" w:fill="FFFFFF"/>
        </w:rPr>
        <w:t>（三）要素支持。</w:t>
      </w:r>
      <w:r>
        <w:rPr>
          <w:rFonts w:eastAsia="仿宋_GB2312"/>
          <w:sz w:val="32"/>
          <w:szCs w:val="32"/>
          <w:shd w:val="clear" w:color="auto" w:fill="FFFFFF"/>
        </w:rPr>
        <w:t>聚焦科技成果转化，支持科技创新平台建设单位作为各类重大科技项目和重大科技基础设施（平台）的依托单位，承担定向委托、揭榜挂帅等重大科技项目，产出更多可转化的优质成果。支持融入工业互联网平台，利用工业互联网建立虚拟研发机构，开展线上研发、线上转化、线上对接，实现科研人员、资金、技术、市场互动耦合和线上线下创新资源互联互通，拓展科技成果应用场景。</w:t>
      </w:r>
      <w:r>
        <w:rPr>
          <w:rFonts w:hint="eastAsia" w:ascii="楷体_GB2312" w:eastAsia="楷体_GB2312"/>
          <w:sz w:val="32"/>
          <w:szCs w:val="32"/>
          <w:shd w:val="clear" w:color="auto" w:fill="FFFFFF"/>
        </w:rPr>
        <w:t>（</w:t>
      </w:r>
      <w:r>
        <w:rPr>
          <w:rFonts w:hint="eastAsia" w:ascii="楷体_GB2312" w:eastAsia="楷体_GB2312"/>
          <w:bCs/>
          <w:kern w:val="2"/>
          <w:sz w:val="32"/>
          <w:szCs w:val="32"/>
          <w:shd w:val="clear" w:color="auto" w:fill="FFFFFF"/>
        </w:rPr>
        <w:t>牵头单位：</w:t>
      </w:r>
      <w:r>
        <w:rPr>
          <w:rFonts w:hint="eastAsia" w:ascii="楷体_GB2312" w:eastAsia="楷体_GB2312"/>
          <w:sz w:val="32"/>
          <w:szCs w:val="32"/>
          <w:shd w:val="clear" w:color="auto" w:fill="FFFFFF"/>
        </w:rPr>
        <w:t>市科技局）</w:t>
      </w:r>
    </w:p>
    <w:p>
      <w:pPr>
        <w:pStyle w:val="14"/>
        <w:widowControl/>
        <w:spacing w:before="0" w:beforeAutospacing="0" w:after="0" w:afterAutospacing="0" w:line="580" w:lineRule="exact"/>
        <w:ind w:firstLine="643" w:firstLineChars="200"/>
        <w:jc w:val="both"/>
        <w:rPr>
          <w:rFonts w:hint="eastAsia" w:ascii="楷体_GB2312" w:eastAsia="楷体_GB2312"/>
          <w:sz w:val="32"/>
          <w:szCs w:val="32"/>
        </w:rPr>
      </w:pPr>
      <w:r>
        <w:rPr>
          <w:rFonts w:ascii="楷体_GB2312" w:eastAsia="楷体_GB2312"/>
          <w:b/>
          <w:kern w:val="2"/>
          <w:sz w:val="32"/>
          <w:szCs w:val="32"/>
          <w:shd w:val="clear" w:color="auto" w:fill="FFFFFF"/>
        </w:rPr>
        <w:t>（四）激励支持。</w:t>
      </w:r>
      <w:r>
        <w:rPr>
          <w:rFonts w:eastAsia="仿宋_GB2312"/>
          <w:sz w:val="32"/>
          <w:szCs w:val="32"/>
          <w:shd w:val="clear" w:color="auto" w:fill="FFFFFF"/>
        </w:rPr>
        <w:t>允许科技创新平台建设单位从财政稳定支持经费中提取不超过20%作为奖励经费，奖励经费的使用范围和标准由其自主决定。奖励经费可用于机构建设发展。推行“预算+负面清单”管理模式，符合条件的财政科研项目经费纳入“包干制”试点，项目结余资金可按规定转入下一年度使用。</w:t>
      </w:r>
      <w:r>
        <w:rPr>
          <w:rFonts w:hint="eastAsia" w:ascii="楷体_GB2312" w:eastAsia="楷体_GB2312"/>
          <w:sz w:val="32"/>
          <w:szCs w:val="32"/>
          <w:shd w:val="clear" w:color="auto" w:fill="FFFFFF"/>
        </w:rPr>
        <w:t>（</w:t>
      </w:r>
      <w:r>
        <w:rPr>
          <w:rFonts w:hint="eastAsia" w:ascii="楷体_GB2312" w:eastAsia="楷体_GB2312"/>
          <w:bCs/>
          <w:sz w:val="32"/>
          <w:szCs w:val="32"/>
          <w:shd w:val="clear" w:color="auto" w:fill="FFFFFF"/>
        </w:rPr>
        <w:t>牵头单位：</w:t>
      </w:r>
      <w:r>
        <w:rPr>
          <w:rFonts w:hint="eastAsia" w:ascii="楷体_GB2312" w:eastAsia="楷体_GB2312"/>
          <w:sz w:val="32"/>
          <w:szCs w:val="32"/>
          <w:shd w:val="clear" w:color="auto" w:fill="FFFFFF"/>
        </w:rPr>
        <w:t>市科技局）</w:t>
      </w:r>
    </w:p>
    <w:p>
      <w:pPr>
        <w:pStyle w:val="14"/>
        <w:widowControl/>
        <w:spacing w:before="0" w:beforeAutospacing="0" w:after="0" w:afterAutospacing="0" w:line="580" w:lineRule="exact"/>
        <w:ind w:firstLine="640" w:firstLineChars="200"/>
        <w:jc w:val="both"/>
        <w:rPr>
          <w:rStyle w:val="21"/>
          <w:rFonts w:ascii="黑体" w:hAnsi="黑体" w:eastAsia="黑体"/>
          <w:b w:val="0"/>
          <w:sz w:val="32"/>
          <w:szCs w:val="32"/>
        </w:rPr>
      </w:pPr>
      <w:r>
        <w:rPr>
          <w:rStyle w:val="21"/>
          <w:rFonts w:ascii="黑体" w:hAnsi="黑体" w:eastAsia="黑体"/>
          <w:b w:val="0"/>
          <w:bCs w:val="0"/>
          <w:sz w:val="32"/>
          <w:szCs w:val="32"/>
        </w:rPr>
        <w:t>六、工作要求</w:t>
      </w:r>
    </w:p>
    <w:p>
      <w:pPr>
        <w:pStyle w:val="14"/>
        <w:widowControl/>
        <w:spacing w:before="0" w:beforeAutospacing="0" w:after="0" w:afterAutospacing="0" w:line="580" w:lineRule="exact"/>
        <w:ind w:firstLine="643" w:firstLineChars="200"/>
        <w:jc w:val="both"/>
        <w:rPr>
          <w:rFonts w:eastAsia="仿宋_GB2312"/>
          <w:kern w:val="2"/>
          <w:sz w:val="32"/>
          <w:szCs w:val="32"/>
          <w:shd w:val="clear" w:color="auto" w:fill="FFFFFF"/>
        </w:rPr>
      </w:pPr>
      <w:r>
        <w:rPr>
          <w:rFonts w:ascii="楷体_GB2312" w:eastAsia="楷体_GB2312"/>
          <w:b/>
          <w:kern w:val="2"/>
          <w:sz w:val="32"/>
          <w:szCs w:val="32"/>
          <w:shd w:val="clear" w:color="auto" w:fill="FFFFFF"/>
        </w:rPr>
        <w:t>（一）强化组织推进。</w:t>
      </w:r>
      <w:r>
        <w:rPr>
          <w:rFonts w:eastAsia="仿宋_GB2312"/>
          <w:sz w:val="32"/>
          <w:szCs w:val="32"/>
          <w:shd w:val="clear" w:color="auto" w:fill="FFFFFF"/>
        </w:rPr>
        <w:t>各县区、园区应结合实际，加快发展科技创新平台，协调解决科技创新平台建设发展过程中遇到的重大问题，给予必要支持。保障科技创新平台新增用地需求，对符合条件的，可采用划拨方式供地。鼓励各类科技创新平台创新体制机制，强化科技成果转化和产业服务功能，促进科技成果转化。</w:t>
      </w:r>
    </w:p>
    <w:p>
      <w:pPr>
        <w:pStyle w:val="14"/>
        <w:widowControl/>
        <w:spacing w:before="0" w:beforeAutospacing="0" w:after="0" w:afterAutospacing="0" w:line="580" w:lineRule="exact"/>
        <w:ind w:firstLine="643" w:firstLineChars="200"/>
        <w:jc w:val="both"/>
        <w:rPr>
          <w:rFonts w:eastAsia="仿宋_GB2312"/>
          <w:kern w:val="2"/>
          <w:sz w:val="32"/>
          <w:szCs w:val="32"/>
          <w:shd w:val="clear" w:color="auto" w:fill="FFFFFF"/>
        </w:rPr>
      </w:pPr>
      <w:r>
        <w:rPr>
          <w:rFonts w:ascii="楷体_GB2312" w:eastAsia="楷体_GB2312"/>
          <w:b/>
          <w:kern w:val="2"/>
          <w:sz w:val="32"/>
          <w:szCs w:val="32"/>
          <w:shd w:val="clear" w:color="auto" w:fill="FFFFFF"/>
        </w:rPr>
        <w:t>（二）规范组建程序。</w:t>
      </w:r>
      <w:r>
        <w:rPr>
          <w:rFonts w:eastAsia="仿宋_GB2312"/>
          <w:sz w:val="32"/>
          <w:szCs w:val="32"/>
          <w:shd w:val="clear" w:color="auto" w:fill="FFFFFF"/>
        </w:rPr>
        <w:t>建立政府、专家、市场共同参与的论证决策机制，严格论证程序和决策流程。拟新建科技创新平台的，组建方应提出可行的建设方案，明确功能定位、组织架构、体制机制，细化量化建设目标、工作计划、建设内容、预期成效等内容。对市委、市政府重点引进和建设的，可通过“一事一议”方式单独组织申报认定。</w:t>
      </w:r>
    </w:p>
    <w:p>
      <w:pPr>
        <w:pStyle w:val="14"/>
        <w:widowControl/>
        <w:spacing w:before="0" w:beforeAutospacing="0" w:after="0" w:afterAutospacing="0" w:line="580" w:lineRule="exact"/>
        <w:ind w:firstLine="643" w:firstLineChars="200"/>
        <w:jc w:val="both"/>
        <w:rPr>
          <w:rFonts w:eastAsia="仿宋_GB2312"/>
          <w:kern w:val="2"/>
          <w:sz w:val="32"/>
          <w:szCs w:val="32"/>
          <w:shd w:val="clear" w:color="auto" w:fill="FFFFFF"/>
        </w:rPr>
      </w:pPr>
      <w:r>
        <w:rPr>
          <w:rFonts w:ascii="楷体_GB2312" w:eastAsia="楷体_GB2312"/>
          <w:b/>
          <w:kern w:val="2"/>
          <w:sz w:val="32"/>
          <w:szCs w:val="32"/>
          <w:shd w:val="clear" w:color="auto" w:fill="FFFFFF"/>
        </w:rPr>
        <w:t>（三）分类绩效评估。</w:t>
      </w:r>
      <w:r>
        <w:rPr>
          <w:rFonts w:eastAsia="仿宋_GB2312"/>
          <w:sz w:val="32"/>
          <w:szCs w:val="32"/>
          <w:shd w:val="clear" w:color="auto" w:fill="FFFFFF"/>
        </w:rPr>
        <w:t>市按年度对已认定的科技创新平台，按照功能分类开展绩效评估，以研究开发、成果转化和共享服务绩效为核心，建立和完善科技创新平台评估考核体系，制定科学规范的绩效评价制度，引入社会化评价机制，定期对科技平台运行效率进行综合考评，强化考评结果运用，将考评结果与奖惩激励措施相结合，形成内部自律与社会监管相互促进的评价模式，不断提升科技平台建设的规模数量和质量内涵。</w:t>
      </w:r>
    </w:p>
    <w:p>
      <w:pPr>
        <w:pStyle w:val="14"/>
        <w:widowControl/>
        <w:spacing w:before="0" w:beforeAutospacing="0" w:after="0" w:afterAutospacing="0" w:line="580" w:lineRule="exact"/>
        <w:ind w:firstLine="643" w:firstLineChars="200"/>
        <w:jc w:val="both"/>
        <w:rPr>
          <w:rFonts w:eastAsia="仿宋_GB2312"/>
          <w:sz w:val="32"/>
          <w:szCs w:val="32"/>
          <w:shd w:val="clear" w:color="auto" w:fill="FFFFFF"/>
        </w:rPr>
      </w:pPr>
      <w:r>
        <w:rPr>
          <w:rFonts w:hint="eastAsia" w:ascii="楷体_GB2312" w:eastAsia="楷体_GB2312"/>
          <w:b/>
          <w:kern w:val="2"/>
          <w:sz w:val="32"/>
          <w:szCs w:val="32"/>
          <w:shd w:val="clear" w:color="auto" w:fill="FFFFFF"/>
        </w:rPr>
        <w:t>（四）加强诚信建设。</w:t>
      </w:r>
      <w:r>
        <w:rPr>
          <w:rFonts w:eastAsia="仿宋_GB2312"/>
          <w:sz w:val="32"/>
          <w:szCs w:val="32"/>
          <w:shd w:val="clear" w:color="auto" w:fill="FFFFFF"/>
        </w:rPr>
        <w:t>按照“谁举办、谁负责”的原则，落实科技创新平台科研诚信建设主体责任，进一步加强科研诚信建设。对严重违背科研诚信、科技伦理要求的，由科技部门记入科研失信记录，按规定视情追回责任单位和责任人所获利益。</w:t>
      </w:r>
    </w:p>
    <w:p>
      <w:pPr>
        <w:spacing w:line="580" w:lineRule="exact"/>
      </w:pPr>
    </w:p>
    <w:p>
      <w:pPr>
        <w:spacing w:line="580" w:lineRule="exact"/>
      </w:pPr>
    </w:p>
    <w:sectPr>
      <w:footerReference r:id="rId3" w:type="default"/>
      <w:footerReference r:id="rId4" w:type="even"/>
      <w:pgSz w:w="11906" w:h="16838"/>
      <w:pgMar w:top="1701" w:right="1418" w:bottom="1418" w:left="1701" w:header="850" w:footer="992" w:gutter="0"/>
      <w:pgNumType w:fmt="numberInDash"/>
      <w:cols w:space="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5501"/>
      <w:docPartObj>
        <w:docPartGallery w:val="autotext"/>
      </w:docPartObj>
    </w:sdtPr>
    <w:sdtContent>
      <w:p>
        <w:pPr>
          <w:pStyle w:val="2"/>
          <w:jc w:val="right"/>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1 -</w:t>
        </w:r>
        <w:r>
          <w:rPr>
            <w:rFonts w:asciiTheme="minorEastAsia" w:hAnsiTheme="minorEastAsia" w:eastAsiaTheme="minorEastAsia"/>
            <w:sz w:val="24"/>
            <w:szCs w:val="24"/>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5502"/>
      <w:docPartObj>
        <w:docPartGallery w:val="autotext"/>
      </w:docPartObj>
    </w:sdtPr>
    <w:sdtContent>
      <w:p>
        <w:pPr>
          <w:pStyle w:val="2"/>
          <w:ind w:right="360"/>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2 -</w:t>
        </w:r>
        <w:r>
          <w:rPr>
            <w:rFonts w:asciiTheme="minorEastAsia" w:hAnsiTheme="minorEastAsia" w:eastAsiaTheme="minorEastAsia"/>
            <w:sz w:val="24"/>
            <w:szCs w:val="24"/>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val="1"/>
  <w:bordersDoNotSurroundHeader w:val="1"/>
  <w:bordersDoNotSurroundFooter w:val="1"/>
  <w:documentProtection w:enforcement="0"/>
  <w:defaultTabStop w:val="420"/>
  <w:evenAndOddHeaders w:val="1"/>
  <w:drawingGridHorizontalSpacing w:val="105"/>
  <w:drawingGridVerticalSpacing w:val="315"/>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0MzA1ODUxZjM3NTNiYjk4ZWQzZTQ4MjJlZjQyMWUifQ=="/>
  </w:docVars>
  <w:rsids>
    <w:rsidRoot w:val="00E03A36"/>
    <w:rsid w:val="00004EFC"/>
    <w:rsid w:val="00015D14"/>
    <w:rsid w:val="000162ED"/>
    <w:rsid w:val="00021352"/>
    <w:rsid w:val="0002539F"/>
    <w:rsid w:val="00025C59"/>
    <w:rsid w:val="0003237D"/>
    <w:rsid w:val="000361A9"/>
    <w:rsid w:val="00041485"/>
    <w:rsid w:val="00043E9D"/>
    <w:rsid w:val="00073952"/>
    <w:rsid w:val="00085C75"/>
    <w:rsid w:val="000871CA"/>
    <w:rsid w:val="00090F23"/>
    <w:rsid w:val="00091603"/>
    <w:rsid w:val="00095E98"/>
    <w:rsid w:val="000A63C0"/>
    <w:rsid w:val="000B6F33"/>
    <w:rsid w:val="000C611D"/>
    <w:rsid w:val="000D6643"/>
    <w:rsid w:val="000E16AE"/>
    <w:rsid w:val="000E17B0"/>
    <w:rsid w:val="000E7EA7"/>
    <w:rsid w:val="000F44C4"/>
    <w:rsid w:val="000F6DEC"/>
    <w:rsid w:val="001029B1"/>
    <w:rsid w:val="00112C0E"/>
    <w:rsid w:val="001145B8"/>
    <w:rsid w:val="00120249"/>
    <w:rsid w:val="0013465D"/>
    <w:rsid w:val="0013521D"/>
    <w:rsid w:val="00142BCC"/>
    <w:rsid w:val="0014375A"/>
    <w:rsid w:val="0014461E"/>
    <w:rsid w:val="00144798"/>
    <w:rsid w:val="00150890"/>
    <w:rsid w:val="00150A40"/>
    <w:rsid w:val="0015142D"/>
    <w:rsid w:val="00151440"/>
    <w:rsid w:val="00152A09"/>
    <w:rsid w:val="0016389C"/>
    <w:rsid w:val="00166A8B"/>
    <w:rsid w:val="00167CF5"/>
    <w:rsid w:val="001716D1"/>
    <w:rsid w:val="00172075"/>
    <w:rsid w:val="001725B2"/>
    <w:rsid w:val="00173077"/>
    <w:rsid w:val="00173932"/>
    <w:rsid w:val="00175553"/>
    <w:rsid w:val="001770D7"/>
    <w:rsid w:val="0018252A"/>
    <w:rsid w:val="00182B84"/>
    <w:rsid w:val="00186EBF"/>
    <w:rsid w:val="0019034B"/>
    <w:rsid w:val="001910C5"/>
    <w:rsid w:val="001A1257"/>
    <w:rsid w:val="001A42F7"/>
    <w:rsid w:val="001B0608"/>
    <w:rsid w:val="001B639B"/>
    <w:rsid w:val="001C14C4"/>
    <w:rsid w:val="001C3F69"/>
    <w:rsid w:val="001D31C5"/>
    <w:rsid w:val="001D3F96"/>
    <w:rsid w:val="001D6859"/>
    <w:rsid w:val="001E45E7"/>
    <w:rsid w:val="001E575F"/>
    <w:rsid w:val="001E74AF"/>
    <w:rsid w:val="001F380E"/>
    <w:rsid w:val="001F5255"/>
    <w:rsid w:val="001F7B2B"/>
    <w:rsid w:val="0020731C"/>
    <w:rsid w:val="002130DB"/>
    <w:rsid w:val="002149D5"/>
    <w:rsid w:val="00216936"/>
    <w:rsid w:val="00223458"/>
    <w:rsid w:val="00224881"/>
    <w:rsid w:val="00230E07"/>
    <w:rsid w:val="00231332"/>
    <w:rsid w:val="00233D48"/>
    <w:rsid w:val="002340D2"/>
    <w:rsid w:val="00236A18"/>
    <w:rsid w:val="00241911"/>
    <w:rsid w:val="002422F4"/>
    <w:rsid w:val="00242338"/>
    <w:rsid w:val="002437CD"/>
    <w:rsid w:val="00244217"/>
    <w:rsid w:val="002505BE"/>
    <w:rsid w:val="00253EBB"/>
    <w:rsid w:val="00261C4F"/>
    <w:rsid w:val="00267084"/>
    <w:rsid w:val="0027609A"/>
    <w:rsid w:val="00276B3E"/>
    <w:rsid w:val="00290D1C"/>
    <w:rsid w:val="002930C0"/>
    <w:rsid w:val="00295182"/>
    <w:rsid w:val="00296BA0"/>
    <w:rsid w:val="00297CE0"/>
    <w:rsid w:val="002A160B"/>
    <w:rsid w:val="002A4077"/>
    <w:rsid w:val="002B277F"/>
    <w:rsid w:val="002C55E4"/>
    <w:rsid w:val="002C6801"/>
    <w:rsid w:val="002D023F"/>
    <w:rsid w:val="002D137C"/>
    <w:rsid w:val="002D4A56"/>
    <w:rsid w:val="002D549E"/>
    <w:rsid w:val="002E0785"/>
    <w:rsid w:val="002E1467"/>
    <w:rsid w:val="002E2237"/>
    <w:rsid w:val="002E5C73"/>
    <w:rsid w:val="002E5F04"/>
    <w:rsid w:val="00301A19"/>
    <w:rsid w:val="00304C0A"/>
    <w:rsid w:val="003075C4"/>
    <w:rsid w:val="00311FDB"/>
    <w:rsid w:val="00313105"/>
    <w:rsid w:val="0031782A"/>
    <w:rsid w:val="00321318"/>
    <w:rsid w:val="00325686"/>
    <w:rsid w:val="003323F5"/>
    <w:rsid w:val="00333CF5"/>
    <w:rsid w:val="00334B89"/>
    <w:rsid w:val="00345DCF"/>
    <w:rsid w:val="00347B85"/>
    <w:rsid w:val="00351819"/>
    <w:rsid w:val="00361476"/>
    <w:rsid w:val="003711A8"/>
    <w:rsid w:val="00375F48"/>
    <w:rsid w:val="00377613"/>
    <w:rsid w:val="003815BE"/>
    <w:rsid w:val="00382254"/>
    <w:rsid w:val="00387195"/>
    <w:rsid w:val="00387296"/>
    <w:rsid w:val="00390E06"/>
    <w:rsid w:val="003A56B6"/>
    <w:rsid w:val="003B1C7D"/>
    <w:rsid w:val="003C25C4"/>
    <w:rsid w:val="003C52CB"/>
    <w:rsid w:val="003C59FC"/>
    <w:rsid w:val="003D5224"/>
    <w:rsid w:val="003E182F"/>
    <w:rsid w:val="003E2F6C"/>
    <w:rsid w:val="003E38C4"/>
    <w:rsid w:val="003E74C9"/>
    <w:rsid w:val="0040133C"/>
    <w:rsid w:val="00404FAA"/>
    <w:rsid w:val="00407149"/>
    <w:rsid w:val="0041045C"/>
    <w:rsid w:val="004126C1"/>
    <w:rsid w:val="00415842"/>
    <w:rsid w:val="0041724B"/>
    <w:rsid w:val="00422DED"/>
    <w:rsid w:val="00431AAC"/>
    <w:rsid w:val="00432AB8"/>
    <w:rsid w:val="00433AB3"/>
    <w:rsid w:val="00433D8D"/>
    <w:rsid w:val="004566A4"/>
    <w:rsid w:val="00460495"/>
    <w:rsid w:val="00461F97"/>
    <w:rsid w:val="00464178"/>
    <w:rsid w:val="00476E68"/>
    <w:rsid w:val="004776DD"/>
    <w:rsid w:val="00482064"/>
    <w:rsid w:val="0048743E"/>
    <w:rsid w:val="00491AAD"/>
    <w:rsid w:val="004949BC"/>
    <w:rsid w:val="0049605E"/>
    <w:rsid w:val="004971D5"/>
    <w:rsid w:val="004A14AD"/>
    <w:rsid w:val="004A6896"/>
    <w:rsid w:val="004A7C0D"/>
    <w:rsid w:val="004B0725"/>
    <w:rsid w:val="004C2535"/>
    <w:rsid w:val="004D33A6"/>
    <w:rsid w:val="004E07F3"/>
    <w:rsid w:val="004E4FFD"/>
    <w:rsid w:val="004F5AE1"/>
    <w:rsid w:val="00500FE4"/>
    <w:rsid w:val="00501652"/>
    <w:rsid w:val="005049E7"/>
    <w:rsid w:val="005067B6"/>
    <w:rsid w:val="0051449F"/>
    <w:rsid w:val="00515C13"/>
    <w:rsid w:val="0052029C"/>
    <w:rsid w:val="0052311B"/>
    <w:rsid w:val="00523546"/>
    <w:rsid w:val="00530D67"/>
    <w:rsid w:val="00532B62"/>
    <w:rsid w:val="00534E04"/>
    <w:rsid w:val="005359EF"/>
    <w:rsid w:val="005376A6"/>
    <w:rsid w:val="005378E6"/>
    <w:rsid w:val="00544D79"/>
    <w:rsid w:val="00545A71"/>
    <w:rsid w:val="00546A65"/>
    <w:rsid w:val="0056177D"/>
    <w:rsid w:val="00564E1F"/>
    <w:rsid w:val="005654B0"/>
    <w:rsid w:val="0056756B"/>
    <w:rsid w:val="0057146A"/>
    <w:rsid w:val="00572733"/>
    <w:rsid w:val="005752C8"/>
    <w:rsid w:val="00576DE1"/>
    <w:rsid w:val="00582552"/>
    <w:rsid w:val="00590797"/>
    <w:rsid w:val="005907B9"/>
    <w:rsid w:val="00591457"/>
    <w:rsid w:val="00592792"/>
    <w:rsid w:val="00595A5C"/>
    <w:rsid w:val="005A1DBC"/>
    <w:rsid w:val="005A60F6"/>
    <w:rsid w:val="005A635A"/>
    <w:rsid w:val="005A71E9"/>
    <w:rsid w:val="005B2849"/>
    <w:rsid w:val="005B3E21"/>
    <w:rsid w:val="005B553B"/>
    <w:rsid w:val="005B5911"/>
    <w:rsid w:val="005B6349"/>
    <w:rsid w:val="005C2E82"/>
    <w:rsid w:val="005C4123"/>
    <w:rsid w:val="005D5A89"/>
    <w:rsid w:val="005D6E8A"/>
    <w:rsid w:val="005E1FDE"/>
    <w:rsid w:val="005E62C8"/>
    <w:rsid w:val="00614259"/>
    <w:rsid w:val="00625CA3"/>
    <w:rsid w:val="00635370"/>
    <w:rsid w:val="006420DD"/>
    <w:rsid w:val="00642E87"/>
    <w:rsid w:val="0064620C"/>
    <w:rsid w:val="006476F4"/>
    <w:rsid w:val="00650D39"/>
    <w:rsid w:val="00652F82"/>
    <w:rsid w:val="006548E4"/>
    <w:rsid w:val="00656D35"/>
    <w:rsid w:val="0066380F"/>
    <w:rsid w:val="006640AF"/>
    <w:rsid w:val="006666F7"/>
    <w:rsid w:val="00670EE8"/>
    <w:rsid w:val="006731BF"/>
    <w:rsid w:val="0067435A"/>
    <w:rsid w:val="00680AD1"/>
    <w:rsid w:val="006824F8"/>
    <w:rsid w:val="006827EF"/>
    <w:rsid w:val="0068292B"/>
    <w:rsid w:val="006917BC"/>
    <w:rsid w:val="006969EF"/>
    <w:rsid w:val="006A1B14"/>
    <w:rsid w:val="006A4750"/>
    <w:rsid w:val="006B2DD4"/>
    <w:rsid w:val="006B62BF"/>
    <w:rsid w:val="006C4644"/>
    <w:rsid w:val="006D0B5B"/>
    <w:rsid w:val="006D2BDB"/>
    <w:rsid w:val="006D37B1"/>
    <w:rsid w:val="006E1ECB"/>
    <w:rsid w:val="006E2728"/>
    <w:rsid w:val="006E3980"/>
    <w:rsid w:val="006F2509"/>
    <w:rsid w:val="006F37E8"/>
    <w:rsid w:val="006F4A99"/>
    <w:rsid w:val="006F532B"/>
    <w:rsid w:val="006F7807"/>
    <w:rsid w:val="00720FAC"/>
    <w:rsid w:val="0073136B"/>
    <w:rsid w:val="00732015"/>
    <w:rsid w:val="00733D36"/>
    <w:rsid w:val="00735FF5"/>
    <w:rsid w:val="00741B05"/>
    <w:rsid w:val="0074694B"/>
    <w:rsid w:val="0075385B"/>
    <w:rsid w:val="00755616"/>
    <w:rsid w:val="007701E5"/>
    <w:rsid w:val="00774679"/>
    <w:rsid w:val="00780305"/>
    <w:rsid w:val="007820AD"/>
    <w:rsid w:val="00782908"/>
    <w:rsid w:val="0078659F"/>
    <w:rsid w:val="0078698C"/>
    <w:rsid w:val="00787CA4"/>
    <w:rsid w:val="007903CC"/>
    <w:rsid w:val="00796CD6"/>
    <w:rsid w:val="007A4200"/>
    <w:rsid w:val="007A789E"/>
    <w:rsid w:val="007C0E28"/>
    <w:rsid w:val="007C5248"/>
    <w:rsid w:val="007D0AD0"/>
    <w:rsid w:val="007E77A2"/>
    <w:rsid w:val="007E7C19"/>
    <w:rsid w:val="00803002"/>
    <w:rsid w:val="00804841"/>
    <w:rsid w:val="008103BB"/>
    <w:rsid w:val="008111A6"/>
    <w:rsid w:val="00821C21"/>
    <w:rsid w:val="00821DD2"/>
    <w:rsid w:val="008264BD"/>
    <w:rsid w:val="0083470C"/>
    <w:rsid w:val="00834927"/>
    <w:rsid w:val="00851FAC"/>
    <w:rsid w:val="0085558F"/>
    <w:rsid w:val="008606A0"/>
    <w:rsid w:val="00865725"/>
    <w:rsid w:val="00874F8E"/>
    <w:rsid w:val="008771A9"/>
    <w:rsid w:val="008774F5"/>
    <w:rsid w:val="008778FE"/>
    <w:rsid w:val="00877B2F"/>
    <w:rsid w:val="008802B1"/>
    <w:rsid w:val="008816D1"/>
    <w:rsid w:val="0088239B"/>
    <w:rsid w:val="008845D9"/>
    <w:rsid w:val="008906DB"/>
    <w:rsid w:val="008A2A1A"/>
    <w:rsid w:val="008A559A"/>
    <w:rsid w:val="008A6171"/>
    <w:rsid w:val="008C0C5F"/>
    <w:rsid w:val="008C37AD"/>
    <w:rsid w:val="008D3291"/>
    <w:rsid w:val="008E03E9"/>
    <w:rsid w:val="008E10FC"/>
    <w:rsid w:val="008F01B8"/>
    <w:rsid w:val="008F353D"/>
    <w:rsid w:val="008F3CC8"/>
    <w:rsid w:val="008F5CDD"/>
    <w:rsid w:val="008F6F97"/>
    <w:rsid w:val="00900827"/>
    <w:rsid w:val="009049F3"/>
    <w:rsid w:val="00911555"/>
    <w:rsid w:val="00912707"/>
    <w:rsid w:val="00912ACE"/>
    <w:rsid w:val="00913955"/>
    <w:rsid w:val="00915500"/>
    <w:rsid w:val="00923BB8"/>
    <w:rsid w:val="009316D6"/>
    <w:rsid w:val="009331DC"/>
    <w:rsid w:val="0093605B"/>
    <w:rsid w:val="00937D2F"/>
    <w:rsid w:val="00937F00"/>
    <w:rsid w:val="0094120B"/>
    <w:rsid w:val="00941DC1"/>
    <w:rsid w:val="0095229C"/>
    <w:rsid w:val="00961907"/>
    <w:rsid w:val="00962289"/>
    <w:rsid w:val="009639DD"/>
    <w:rsid w:val="00963AA8"/>
    <w:rsid w:val="009710D6"/>
    <w:rsid w:val="00976F72"/>
    <w:rsid w:val="0098182E"/>
    <w:rsid w:val="00983109"/>
    <w:rsid w:val="00985835"/>
    <w:rsid w:val="0098616A"/>
    <w:rsid w:val="009915F9"/>
    <w:rsid w:val="00995A3A"/>
    <w:rsid w:val="009A006B"/>
    <w:rsid w:val="009A1CC7"/>
    <w:rsid w:val="009A3927"/>
    <w:rsid w:val="009A4961"/>
    <w:rsid w:val="009B375A"/>
    <w:rsid w:val="009B6D60"/>
    <w:rsid w:val="009C08F5"/>
    <w:rsid w:val="009C1160"/>
    <w:rsid w:val="009C1271"/>
    <w:rsid w:val="009C4408"/>
    <w:rsid w:val="009D0DD9"/>
    <w:rsid w:val="009D1122"/>
    <w:rsid w:val="009D4C58"/>
    <w:rsid w:val="009D53B4"/>
    <w:rsid w:val="009D58EB"/>
    <w:rsid w:val="009D6792"/>
    <w:rsid w:val="009E17A9"/>
    <w:rsid w:val="009F27C2"/>
    <w:rsid w:val="00A010FF"/>
    <w:rsid w:val="00A135B1"/>
    <w:rsid w:val="00A157A6"/>
    <w:rsid w:val="00A16C25"/>
    <w:rsid w:val="00A219E5"/>
    <w:rsid w:val="00A262C4"/>
    <w:rsid w:val="00A26D62"/>
    <w:rsid w:val="00A27EB7"/>
    <w:rsid w:val="00A304DA"/>
    <w:rsid w:val="00A320B8"/>
    <w:rsid w:val="00A36F89"/>
    <w:rsid w:val="00A37BE5"/>
    <w:rsid w:val="00A37CF7"/>
    <w:rsid w:val="00A46D4B"/>
    <w:rsid w:val="00A518DE"/>
    <w:rsid w:val="00A54DE8"/>
    <w:rsid w:val="00A54EF0"/>
    <w:rsid w:val="00A55168"/>
    <w:rsid w:val="00A57903"/>
    <w:rsid w:val="00A6291F"/>
    <w:rsid w:val="00A64BB2"/>
    <w:rsid w:val="00A7181D"/>
    <w:rsid w:val="00A74CB5"/>
    <w:rsid w:val="00A81891"/>
    <w:rsid w:val="00A82EB9"/>
    <w:rsid w:val="00A83392"/>
    <w:rsid w:val="00A956C4"/>
    <w:rsid w:val="00A97CDD"/>
    <w:rsid w:val="00AA04D6"/>
    <w:rsid w:val="00AA577B"/>
    <w:rsid w:val="00AA7ADE"/>
    <w:rsid w:val="00AB3617"/>
    <w:rsid w:val="00AB45BC"/>
    <w:rsid w:val="00AC4A0A"/>
    <w:rsid w:val="00AD3342"/>
    <w:rsid w:val="00AE0513"/>
    <w:rsid w:val="00AE39D6"/>
    <w:rsid w:val="00AE7DFB"/>
    <w:rsid w:val="00AF3903"/>
    <w:rsid w:val="00AF4971"/>
    <w:rsid w:val="00B14244"/>
    <w:rsid w:val="00B1627B"/>
    <w:rsid w:val="00B25FC6"/>
    <w:rsid w:val="00B265BF"/>
    <w:rsid w:val="00B26CAD"/>
    <w:rsid w:val="00B27D89"/>
    <w:rsid w:val="00B3022E"/>
    <w:rsid w:val="00B3438B"/>
    <w:rsid w:val="00B431C5"/>
    <w:rsid w:val="00B50F44"/>
    <w:rsid w:val="00B601E9"/>
    <w:rsid w:val="00B6286D"/>
    <w:rsid w:val="00B768FA"/>
    <w:rsid w:val="00B76BA9"/>
    <w:rsid w:val="00B82312"/>
    <w:rsid w:val="00B84BAE"/>
    <w:rsid w:val="00B85534"/>
    <w:rsid w:val="00BA0DA9"/>
    <w:rsid w:val="00BA225B"/>
    <w:rsid w:val="00BA3C4C"/>
    <w:rsid w:val="00BA4CB0"/>
    <w:rsid w:val="00BB64CA"/>
    <w:rsid w:val="00BC1794"/>
    <w:rsid w:val="00BC1DD9"/>
    <w:rsid w:val="00BC601E"/>
    <w:rsid w:val="00BC664C"/>
    <w:rsid w:val="00BD4AAB"/>
    <w:rsid w:val="00BE105B"/>
    <w:rsid w:val="00BE677C"/>
    <w:rsid w:val="00BF0199"/>
    <w:rsid w:val="00BF1D96"/>
    <w:rsid w:val="00BF3334"/>
    <w:rsid w:val="00BF3F69"/>
    <w:rsid w:val="00BF6A1B"/>
    <w:rsid w:val="00BF6C62"/>
    <w:rsid w:val="00C006B9"/>
    <w:rsid w:val="00C03665"/>
    <w:rsid w:val="00C04577"/>
    <w:rsid w:val="00C049FA"/>
    <w:rsid w:val="00C10681"/>
    <w:rsid w:val="00C14050"/>
    <w:rsid w:val="00C16804"/>
    <w:rsid w:val="00C17F82"/>
    <w:rsid w:val="00C3261C"/>
    <w:rsid w:val="00C358C6"/>
    <w:rsid w:val="00C400C4"/>
    <w:rsid w:val="00C42E5E"/>
    <w:rsid w:val="00C4431F"/>
    <w:rsid w:val="00C44433"/>
    <w:rsid w:val="00C44CC0"/>
    <w:rsid w:val="00C44E68"/>
    <w:rsid w:val="00C51F85"/>
    <w:rsid w:val="00C60046"/>
    <w:rsid w:val="00C61605"/>
    <w:rsid w:val="00C71C25"/>
    <w:rsid w:val="00C76354"/>
    <w:rsid w:val="00C8175B"/>
    <w:rsid w:val="00C81B9F"/>
    <w:rsid w:val="00C85F36"/>
    <w:rsid w:val="00C87E75"/>
    <w:rsid w:val="00C92BC8"/>
    <w:rsid w:val="00C93D2E"/>
    <w:rsid w:val="00CA07D3"/>
    <w:rsid w:val="00CA0DA2"/>
    <w:rsid w:val="00CA2426"/>
    <w:rsid w:val="00CA344C"/>
    <w:rsid w:val="00CA7161"/>
    <w:rsid w:val="00CB3CB4"/>
    <w:rsid w:val="00CB6787"/>
    <w:rsid w:val="00CD2363"/>
    <w:rsid w:val="00CD6D37"/>
    <w:rsid w:val="00CD771E"/>
    <w:rsid w:val="00CD773D"/>
    <w:rsid w:val="00CE025C"/>
    <w:rsid w:val="00CE29D7"/>
    <w:rsid w:val="00CE50B4"/>
    <w:rsid w:val="00CE6DB4"/>
    <w:rsid w:val="00CF6A0A"/>
    <w:rsid w:val="00D07293"/>
    <w:rsid w:val="00D16BB1"/>
    <w:rsid w:val="00D17854"/>
    <w:rsid w:val="00D22864"/>
    <w:rsid w:val="00D33334"/>
    <w:rsid w:val="00D44B09"/>
    <w:rsid w:val="00D51DEF"/>
    <w:rsid w:val="00D531B8"/>
    <w:rsid w:val="00D53BBE"/>
    <w:rsid w:val="00D61EAA"/>
    <w:rsid w:val="00D77921"/>
    <w:rsid w:val="00D845E4"/>
    <w:rsid w:val="00D8743C"/>
    <w:rsid w:val="00D967B4"/>
    <w:rsid w:val="00DB1DDE"/>
    <w:rsid w:val="00DB68D3"/>
    <w:rsid w:val="00DB76A7"/>
    <w:rsid w:val="00DC5C28"/>
    <w:rsid w:val="00DC7546"/>
    <w:rsid w:val="00DC75E9"/>
    <w:rsid w:val="00DD106C"/>
    <w:rsid w:val="00DD24D5"/>
    <w:rsid w:val="00DD269A"/>
    <w:rsid w:val="00DD3D25"/>
    <w:rsid w:val="00DD6355"/>
    <w:rsid w:val="00DE5313"/>
    <w:rsid w:val="00DE5EFA"/>
    <w:rsid w:val="00DE727F"/>
    <w:rsid w:val="00E019ED"/>
    <w:rsid w:val="00E03A36"/>
    <w:rsid w:val="00E064A1"/>
    <w:rsid w:val="00E101E3"/>
    <w:rsid w:val="00E154A5"/>
    <w:rsid w:val="00E22565"/>
    <w:rsid w:val="00E264F0"/>
    <w:rsid w:val="00E368B1"/>
    <w:rsid w:val="00E37852"/>
    <w:rsid w:val="00E401A5"/>
    <w:rsid w:val="00E41CD0"/>
    <w:rsid w:val="00E50169"/>
    <w:rsid w:val="00E530BD"/>
    <w:rsid w:val="00E54784"/>
    <w:rsid w:val="00E6184D"/>
    <w:rsid w:val="00E62AC2"/>
    <w:rsid w:val="00E658D6"/>
    <w:rsid w:val="00E81CC7"/>
    <w:rsid w:val="00E82A94"/>
    <w:rsid w:val="00E84971"/>
    <w:rsid w:val="00E85C7E"/>
    <w:rsid w:val="00E85E22"/>
    <w:rsid w:val="00E90F0C"/>
    <w:rsid w:val="00E917BD"/>
    <w:rsid w:val="00E92A23"/>
    <w:rsid w:val="00E9307E"/>
    <w:rsid w:val="00E9397C"/>
    <w:rsid w:val="00E95070"/>
    <w:rsid w:val="00EA0F94"/>
    <w:rsid w:val="00EA1292"/>
    <w:rsid w:val="00EA2D2D"/>
    <w:rsid w:val="00EA2F0C"/>
    <w:rsid w:val="00EA725A"/>
    <w:rsid w:val="00EB0E5E"/>
    <w:rsid w:val="00EB2124"/>
    <w:rsid w:val="00EB43C2"/>
    <w:rsid w:val="00EB48B0"/>
    <w:rsid w:val="00EB4B4F"/>
    <w:rsid w:val="00EB6772"/>
    <w:rsid w:val="00EC3513"/>
    <w:rsid w:val="00EC391F"/>
    <w:rsid w:val="00EC78DA"/>
    <w:rsid w:val="00ED01E8"/>
    <w:rsid w:val="00ED09C1"/>
    <w:rsid w:val="00ED169F"/>
    <w:rsid w:val="00ED6BAD"/>
    <w:rsid w:val="00EE5514"/>
    <w:rsid w:val="00EE7A85"/>
    <w:rsid w:val="00EF5F4B"/>
    <w:rsid w:val="00EF6225"/>
    <w:rsid w:val="00F00708"/>
    <w:rsid w:val="00F011E0"/>
    <w:rsid w:val="00F12723"/>
    <w:rsid w:val="00F1319B"/>
    <w:rsid w:val="00F13837"/>
    <w:rsid w:val="00F2640A"/>
    <w:rsid w:val="00F26B34"/>
    <w:rsid w:val="00F329D4"/>
    <w:rsid w:val="00F33FD1"/>
    <w:rsid w:val="00F340A5"/>
    <w:rsid w:val="00F444EF"/>
    <w:rsid w:val="00F52501"/>
    <w:rsid w:val="00F52DBE"/>
    <w:rsid w:val="00F53E24"/>
    <w:rsid w:val="00F57876"/>
    <w:rsid w:val="00F62F5B"/>
    <w:rsid w:val="00F6369B"/>
    <w:rsid w:val="00F638A4"/>
    <w:rsid w:val="00F63C1B"/>
    <w:rsid w:val="00F67CD1"/>
    <w:rsid w:val="00F827FD"/>
    <w:rsid w:val="00F85333"/>
    <w:rsid w:val="00F939F9"/>
    <w:rsid w:val="00F940DE"/>
    <w:rsid w:val="00F955C8"/>
    <w:rsid w:val="00FA7A3B"/>
    <w:rsid w:val="00FB3980"/>
    <w:rsid w:val="00FB7E0D"/>
    <w:rsid w:val="00FC107A"/>
    <w:rsid w:val="00FC191A"/>
    <w:rsid w:val="00FC6361"/>
    <w:rsid w:val="00FC7136"/>
    <w:rsid w:val="00FE3920"/>
    <w:rsid w:val="00FE5924"/>
    <w:rsid w:val="00FF1943"/>
    <w:rsid w:val="00FF3C9B"/>
    <w:rsid w:val="015E5D29"/>
    <w:rsid w:val="029403CC"/>
    <w:rsid w:val="03431F49"/>
    <w:rsid w:val="069C2AE7"/>
    <w:rsid w:val="0E7501E1"/>
    <w:rsid w:val="10751435"/>
    <w:rsid w:val="10C325BC"/>
    <w:rsid w:val="191875C3"/>
    <w:rsid w:val="1D2039CC"/>
    <w:rsid w:val="1F5F1E04"/>
    <w:rsid w:val="20C778E7"/>
    <w:rsid w:val="2391343A"/>
    <w:rsid w:val="23BC753A"/>
    <w:rsid w:val="23E92C5A"/>
    <w:rsid w:val="24FD6975"/>
    <w:rsid w:val="27B81090"/>
    <w:rsid w:val="2C1A3B64"/>
    <w:rsid w:val="31284F85"/>
    <w:rsid w:val="33EF1E1A"/>
    <w:rsid w:val="366326C0"/>
    <w:rsid w:val="36956799"/>
    <w:rsid w:val="3A52377B"/>
    <w:rsid w:val="3E06091F"/>
    <w:rsid w:val="3E5F6EA5"/>
    <w:rsid w:val="408928A4"/>
    <w:rsid w:val="41465E08"/>
    <w:rsid w:val="43C1112F"/>
    <w:rsid w:val="45CB0F77"/>
    <w:rsid w:val="45CB6A16"/>
    <w:rsid w:val="472114B3"/>
    <w:rsid w:val="4E7D54D1"/>
    <w:rsid w:val="520159E9"/>
    <w:rsid w:val="58F32147"/>
    <w:rsid w:val="5DF931C8"/>
    <w:rsid w:val="628176A9"/>
    <w:rsid w:val="63826560"/>
    <w:rsid w:val="640F30A6"/>
    <w:rsid w:val="677A4258"/>
    <w:rsid w:val="6D22560A"/>
    <w:rsid w:val="6D232175"/>
    <w:rsid w:val="6E505367"/>
    <w:rsid w:val="6E737EA9"/>
    <w:rsid w:val="72800F6E"/>
    <w:rsid w:val="776C7EF2"/>
    <w:rsid w:val="77BC5BC0"/>
    <w:rsid w:val="781C24E1"/>
    <w:rsid w:val="7862510D"/>
    <w:rsid w:val="798869B1"/>
    <w:rsid w:val="7CD64B9D"/>
    <w:rsid w:val="7CDF14EA"/>
    <w:rsid w:val="7FDC23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qFormat/>
    <w:uiPriority w:val="0"/>
    <w:pPr>
      <w:keepNext/>
      <w:keepLines/>
      <w:spacing w:before="260" w:after="260" w:line="416" w:lineRule="auto"/>
      <w:outlineLvl w:val="1"/>
    </w:pPr>
    <w:rPr>
      <w:rFonts w:ascii="Cambria" w:hAnsi="Cambria"/>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3"/>
    <w:qFormat/>
    <w:uiPriority w:val="99"/>
    <w:pPr>
      <w:tabs>
        <w:tab w:val="center" w:pos="4153"/>
        <w:tab w:val="right" w:pos="8306"/>
      </w:tabs>
      <w:snapToGrid w:val="0"/>
      <w:jc w:val="left"/>
    </w:pPr>
    <w:rPr>
      <w:sz w:val="18"/>
      <w:szCs w:val="18"/>
    </w:rPr>
  </w:style>
  <w:style w:type="paragraph" w:styleId="5">
    <w:name w:val="Normal Indent"/>
    <w:basedOn w:val="1"/>
    <w:qFormat/>
    <w:uiPriority w:val="0"/>
    <w:pPr>
      <w:ind w:firstLine="420" w:firstLineChars="200"/>
    </w:pPr>
  </w:style>
  <w:style w:type="paragraph" w:styleId="6">
    <w:name w:val="Body Text"/>
    <w:basedOn w:val="1"/>
    <w:link w:val="29"/>
    <w:qFormat/>
    <w:uiPriority w:val="0"/>
    <w:pPr>
      <w:spacing w:after="120"/>
    </w:pPr>
    <w:rPr>
      <w:rFonts w:ascii="Calibri" w:hAnsi="Calibri"/>
    </w:rPr>
  </w:style>
  <w:style w:type="paragraph" w:styleId="7">
    <w:name w:val="Body Text Indent"/>
    <w:basedOn w:val="1"/>
    <w:link w:val="30"/>
    <w:qFormat/>
    <w:uiPriority w:val="0"/>
    <w:pPr>
      <w:spacing w:after="120"/>
      <w:ind w:left="420" w:leftChars="200"/>
    </w:pPr>
  </w:style>
  <w:style w:type="paragraph" w:styleId="8">
    <w:name w:val="Date"/>
    <w:basedOn w:val="1"/>
    <w:next w:val="1"/>
    <w:link w:val="31"/>
    <w:qFormat/>
    <w:uiPriority w:val="0"/>
    <w:pPr>
      <w:ind w:left="100" w:leftChars="2500"/>
    </w:pPr>
  </w:style>
  <w:style w:type="paragraph" w:styleId="9">
    <w:name w:val="Body Text Indent 2"/>
    <w:basedOn w:val="1"/>
    <w:next w:val="1"/>
    <w:link w:val="65"/>
    <w:unhideWhenUsed/>
    <w:qFormat/>
    <w:uiPriority w:val="99"/>
    <w:pPr>
      <w:ind w:firstLine="640" w:firstLineChars="200"/>
    </w:pPr>
    <w:rPr>
      <w:rFonts w:ascii="Calibri" w:hAnsi="Calibri" w:cs="宋体"/>
      <w:sz w:val="32"/>
      <w:szCs w:val="22"/>
    </w:rPr>
  </w:style>
  <w:style w:type="paragraph" w:styleId="10">
    <w:name w:val="Balloon Text"/>
    <w:basedOn w:val="1"/>
    <w:link w:val="42"/>
    <w:qFormat/>
    <w:uiPriority w:val="0"/>
    <w:rPr>
      <w:sz w:val="18"/>
      <w:szCs w:val="18"/>
    </w:rPr>
  </w:style>
  <w:style w:type="paragraph" w:styleId="11">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2"/>
    <w:basedOn w:val="1"/>
    <w:link w:val="80"/>
    <w:qFormat/>
    <w:uiPriority w:val="0"/>
    <w:pPr>
      <w:spacing w:after="120" w:line="480" w:lineRule="auto"/>
    </w:pPr>
  </w:style>
  <w:style w:type="paragraph" w:styleId="13">
    <w:name w:val="HTML Preformatted"/>
    <w:basedOn w:val="1"/>
    <w:link w:val="5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unhideWhenUsed/>
    <w:qFormat/>
    <w:uiPriority w:val="99"/>
    <w:pPr>
      <w:spacing w:before="100" w:beforeAutospacing="1" w:after="100" w:afterAutospacing="1"/>
      <w:jc w:val="left"/>
    </w:pPr>
    <w:rPr>
      <w:kern w:val="0"/>
      <w:sz w:val="24"/>
      <w:szCs w:val="22"/>
    </w:rPr>
  </w:style>
  <w:style w:type="paragraph" w:styleId="15">
    <w:name w:val="Title"/>
    <w:basedOn w:val="1"/>
    <w:next w:val="1"/>
    <w:link w:val="45"/>
    <w:qFormat/>
    <w:uiPriority w:val="0"/>
    <w:pPr>
      <w:spacing w:before="240" w:after="60"/>
      <w:jc w:val="center"/>
      <w:outlineLvl w:val="0"/>
    </w:pPr>
    <w:rPr>
      <w:rFonts w:ascii="Cambria" w:hAnsi="Cambria"/>
      <w:b/>
      <w:bCs/>
      <w:sz w:val="32"/>
      <w:szCs w:val="32"/>
    </w:rPr>
  </w:style>
  <w:style w:type="paragraph" w:styleId="16">
    <w:name w:val="Body Text First Indent"/>
    <w:basedOn w:val="6"/>
    <w:link w:val="64"/>
    <w:unhideWhenUsed/>
    <w:qFormat/>
    <w:uiPriority w:val="99"/>
    <w:pPr>
      <w:spacing w:after="0" w:line="500" w:lineRule="exact"/>
      <w:ind w:firstLine="420"/>
    </w:pPr>
    <w:rPr>
      <w:szCs w:val="28"/>
    </w:rPr>
  </w:style>
  <w:style w:type="paragraph" w:styleId="17">
    <w:name w:val="Body Text First Indent 2"/>
    <w:basedOn w:val="7"/>
    <w:link w:val="34"/>
    <w:qFormat/>
    <w:uiPriority w:val="0"/>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rPr>
      <w:rFonts w:cs="Times New Roman"/>
    </w:rPr>
  </w:style>
  <w:style w:type="character" w:styleId="23">
    <w:name w:val="FollowedHyperlink"/>
    <w:qFormat/>
    <w:uiPriority w:val="0"/>
    <w:rPr>
      <w:color w:val="333333"/>
      <w:u w:val="none"/>
    </w:rPr>
  </w:style>
  <w:style w:type="character" w:styleId="24">
    <w:name w:val="HTML Acronym"/>
    <w:basedOn w:val="20"/>
    <w:qFormat/>
    <w:uiPriority w:val="0"/>
  </w:style>
  <w:style w:type="character" w:styleId="25">
    <w:name w:val="Hyperlink"/>
    <w:qFormat/>
    <w:uiPriority w:val="0"/>
    <w:rPr>
      <w:color w:val="333333"/>
      <w:u w:val="none"/>
    </w:rPr>
  </w:style>
  <w:style w:type="character" w:styleId="26">
    <w:name w:val="annotation reference"/>
    <w:basedOn w:val="20"/>
    <w:unhideWhenUsed/>
    <w:qFormat/>
    <w:uiPriority w:val="99"/>
    <w:rPr>
      <w:rFonts w:ascii="Times New Roman" w:hAnsi="Times New Roman" w:eastAsia="宋体" w:cs="Times New Roman"/>
      <w:sz w:val="21"/>
      <w:szCs w:val="21"/>
    </w:rPr>
  </w:style>
  <w:style w:type="character" w:customStyle="1" w:styleId="27">
    <w:name w:val="标题 1 Char"/>
    <w:link w:val="3"/>
    <w:qFormat/>
    <w:uiPriority w:val="0"/>
    <w:rPr>
      <w:b/>
      <w:bCs/>
      <w:kern w:val="44"/>
      <w:sz w:val="44"/>
      <w:szCs w:val="44"/>
    </w:rPr>
  </w:style>
  <w:style w:type="character" w:customStyle="1" w:styleId="28">
    <w:name w:val="标题 2 Char"/>
    <w:link w:val="4"/>
    <w:semiHidden/>
    <w:qFormat/>
    <w:uiPriority w:val="0"/>
    <w:rPr>
      <w:rFonts w:ascii="Cambria" w:hAnsi="Cambria" w:eastAsia="宋体" w:cs="Times New Roman"/>
      <w:b/>
      <w:bCs/>
      <w:kern w:val="2"/>
      <w:sz w:val="32"/>
      <w:szCs w:val="32"/>
    </w:rPr>
  </w:style>
  <w:style w:type="character" w:customStyle="1" w:styleId="29">
    <w:name w:val="正文文本 Char"/>
    <w:link w:val="6"/>
    <w:qFormat/>
    <w:uiPriority w:val="0"/>
    <w:rPr>
      <w:rFonts w:ascii="Calibri" w:hAnsi="Calibri"/>
      <w:kern w:val="2"/>
      <w:sz w:val="21"/>
      <w:szCs w:val="24"/>
    </w:rPr>
  </w:style>
  <w:style w:type="character" w:customStyle="1" w:styleId="30">
    <w:name w:val="正文文本缩进 Char"/>
    <w:link w:val="7"/>
    <w:qFormat/>
    <w:uiPriority w:val="0"/>
    <w:rPr>
      <w:kern w:val="2"/>
      <w:sz w:val="21"/>
      <w:szCs w:val="24"/>
    </w:rPr>
  </w:style>
  <w:style w:type="character" w:customStyle="1" w:styleId="31">
    <w:name w:val="日期 Char"/>
    <w:link w:val="8"/>
    <w:qFormat/>
    <w:uiPriority w:val="0"/>
    <w:rPr>
      <w:kern w:val="2"/>
      <w:sz w:val="21"/>
      <w:szCs w:val="24"/>
    </w:rPr>
  </w:style>
  <w:style w:type="character" w:customStyle="1" w:styleId="32">
    <w:name w:val="批注框文本 Char1"/>
    <w:link w:val="10"/>
    <w:qFormat/>
    <w:uiPriority w:val="0"/>
    <w:rPr>
      <w:kern w:val="2"/>
      <w:sz w:val="18"/>
      <w:szCs w:val="18"/>
    </w:rPr>
  </w:style>
  <w:style w:type="character" w:customStyle="1" w:styleId="33">
    <w:name w:val="页脚 Char"/>
    <w:link w:val="2"/>
    <w:qFormat/>
    <w:uiPriority w:val="99"/>
    <w:rPr>
      <w:kern w:val="2"/>
      <w:sz w:val="18"/>
      <w:szCs w:val="18"/>
    </w:rPr>
  </w:style>
  <w:style w:type="character" w:customStyle="1" w:styleId="34">
    <w:name w:val="正文首行缩进 2 Char"/>
    <w:basedOn w:val="30"/>
    <w:link w:val="17"/>
    <w:qFormat/>
    <w:uiPriority w:val="0"/>
  </w:style>
  <w:style w:type="character" w:customStyle="1" w:styleId="35">
    <w:name w:val="页眉 Char"/>
    <w:link w:val="11"/>
    <w:qFormat/>
    <w:uiPriority w:val="0"/>
    <w:rPr>
      <w:kern w:val="2"/>
      <w:sz w:val="18"/>
      <w:szCs w:val="18"/>
    </w:rPr>
  </w:style>
  <w:style w:type="character" w:customStyle="1" w:styleId="36">
    <w:name w:val="HTML 预设格式 Char1"/>
    <w:link w:val="13"/>
    <w:qFormat/>
    <w:uiPriority w:val="0"/>
    <w:rPr>
      <w:rFonts w:ascii="Courier New" w:hAnsi="Courier New" w:cs="Courier New"/>
      <w:kern w:val="2"/>
    </w:rPr>
  </w:style>
  <w:style w:type="character" w:customStyle="1" w:styleId="37">
    <w:name w:val="标题 Char1"/>
    <w:link w:val="15"/>
    <w:qFormat/>
    <w:uiPriority w:val="0"/>
    <w:rPr>
      <w:rFonts w:ascii="Cambria" w:hAnsi="Cambria" w:cs="Times New Roman"/>
      <w:b/>
      <w:bCs/>
      <w:kern w:val="2"/>
      <w:sz w:val="32"/>
      <w:szCs w:val="32"/>
    </w:rPr>
  </w:style>
  <w:style w:type="paragraph" w:customStyle="1" w:styleId="3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9">
    <w:name w:val="Char"/>
    <w:basedOn w:val="1"/>
    <w:qFormat/>
    <w:uiPriority w:val="0"/>
    <w:pPr>
      <w:widowControl/>
      <w:adjustRightInd w:val="0"/>
      <w:spacing w:after="160" w:line="240" w:lineRule="exact"/>
      <w:jc w:val="left"/>
    </w:pPr>
    <w:rPr>
      <w:rFonts w:ascii="Arial" w:hAnsi="Arial" w:eastAsia="Times New Roman" w:cs="Verdana"/>
      <w:b/>
      <w:kern w:val="0"/>
      <w:sz w:val="24"/>
      <w:lang w:eastAsia="en-US"/>
    </w:rPr>
  </w:style>
  <w:style w:type="paragraph" w:customStyle="1" w:styleId="40">
    <w:name w:val="标题1"/>
    <w:basedOn w:val="1"/>
    <w:next w:val="1"/>
    <w:qFormat/>
    <w:uiPriority w:val="0"/>
    <w:pPr>
      <w:tabs>
        <w:tab w:val="left" w:pos="9193"/>
        <w:tab w:val="left" w:pos="9827"/>
      </w:tabs>
      <w:autoSpaceDE w:val="0"/>
      <w:autoSpaceDN w:val="0"/>
      <w:snapToGrid w:val="0"/>
      <w:spacing w:line="700" w:lineRule="atLeast"/>
      <w:jc w:val="center"/>
    </w:pPr>
    <w:rPr>
      <w:rFonts w:eastAsia="方正小标宋_GBK"/>
      <w:kern w:val="0"/>
      <w:sz w:val="44"/>
      <w:szCs w:val="20"/>
    </w:rPr>
  </w:style>
  <w:style w:type="paragraph" w:customStyle="1" w:styleId="41">
    <w:name w:val="_Style 2"/>
    <w:basedOn w:val="1"/>
    <w:qFormat/>
    <w:uiPriority w:val="0"/>
    <w:pPr>
      <w:widowControl/>
      <w:spacing w:after="160" w:line="240" w:lineRule="exact"/>
      <w:jc w:val="left"/>
    </w:pPr>
    <w:rPr>
      <w:rFonts w:ascii="Arial" w:hAnsi="Arial" w:eastAsia="Times New Roman" w:cs="Verdana"/>
      <w:b/>
      <w:kern w:val="0"/>
      <w:sz w:val="24"/>
      <w:szCs w:val="32"/>
      <w:lang w:eastAsia="en-US"/>
    </w:rPr>
  </w:style>
  <w:style w:type="character" w:customStyle="1" w:styleId="42">
    <w:name w:val="批注框文本 Char"/>
    <w:link w:val="10"/>
    <w:qFormat/>
    <w:uiPriority w:val="0"/>
    <w:rPr>
      <w:kern w:val="2"/>
      <w:sz w:val="18"/>
      <w:szCs w:val="18"/>
    </w:rPr>
  </w:style>
  <w:style w:type="character" w:customStyle="1" w:styleId="43">
    <w:name w:val="font71"/>
    <w:qFormat/>
    <w:uiPriority w:val="0"/>
    <w:rPr>
      <w:rFonts w:hint="default" w:ascii="Times New Roman" w:hAnsi="Times New Roman" w:cs="Times New Roman"/>
      <w:color w:val="000000"/>
      <w:sz w:val="22"/>
      <w:szCs w:val="22"/>
      <w:u w:val="none"/>
    </w:rPr>
  </w:style>
  <w:style w:type="character" w:customStyle="1" w:styleId="44">
    <w:name w:val="tit"/>
    <w:qFormat/>
    <w:uiPriority w:val="0"/>
    <w:rPr>
      <w:b/>
      <w:color w:val="DD0000"/>
    </w:rPr>
  </w:style>
  <w:style w:type="character" w:customStyle="1" w:styleId="45">
    <w:name w:val="标题 Char"/>
    <w:link w:val="15"/>
    <w:qFormat/>
    <w:uiPriority w:val="0"/>
    <w:rPr>
      <w:rFonts w:ascii="Cambria" w:hAnsi="Cambria"/>
      <w:b/>
      <w:bCs/>
      <w:kern w:val="2"/>
      <w:sz w:val="32"/>
      <w:szCs w:val="32"/>
    </w:rPr>
  </w:style>
  <w:style w:type="character" w:customStyle="1" w:styleId="46">
    <w:name w:val="nr"/>
    <w:basedOn w:val="20"/>
    <w:qFormat/>
    <w:uiPriority w:val="0"/>
  </w:style>
  <w:style w:type="character" w:customStyle="1" w:styleId="47">
    <w:name w:val="font61"/>
    <w:qFormat/>
    <w:uiPriority w:val="0"/>
    <w:rPr>
      <w:rFonts w:hint="eastAsia" w:ascii="宋体" w:hAnsi="宋体" w:eastAsia="宋体" w:cs="宋体"/>
      <w:b/>
      <w:color w:val="000000"/>
      <w:sz w:val="22"/>
      <w:szCs w:val="22"/>
      <w:u w:val="none"/>
    </w:rPr>
  </w:style>
  <w:style w:type="character" w:customStyle="1" w:styleId="48">
    <w:name w:val="font101"/>
    <w:qFormat/>
    <w:uiPriority w:val="0"/>
    <w:rPr>
      <w:rFonts w:hint="eastAsia" w:ascii="宋体" w:hAnsi="宋体" w:eastAsia="宋体" w:cs="宋体"/>
      <w:b/>
      <w:color w:val="000000"/>
      <w:sz w:val="22"/>
      <w:szCs w:val="22"/>
      <w:u w:val="none"/>
    </w:rPr>
  </w:style>
  <w:style w:type="character" w:customStyle="1" w:styleId="49">
    <w:name w:val="note-content1"/>
    <w:qFormat/>
    <w:uiPriority w:val="0"/>
    <w:rPr>
      <w:color w:val="333333"/>
    </w:rPr>
  </w:style>
  <w:style w:type="character" w:customStyle="1" w:styleId="50">
    <w:name w:val="note-content"/>
    <w:basedOn w:val="20"/>
    <w:qFormat/>
    <w:uiPriority w:val="0"/>
  </w:style>
  <w:style w:type="character" w:customStyle="1" w:styleId="51">
    <w:name w:val="HTML 预设格式 Char"/>
    <w:link w:val="13"/>
    <w:qFormat/>
    <w:uiPriority w:val="0"/>
    <w:rPr>
      <w:rFonts w:ascii="宋体" w:hAnsi="宋体" w:cs="宋体"/>
      <w:sz w:val="24"/>
      <w:szCs w:val="24"/>
    </w:rPr>
  </w:style>
  <w:style w:type="character" w:customStyle="1" w:styleId="52">
    <w:name w:val="font51"/>
    <w:qFormat/>
    <w:uiPriority w:val="0"/>
    <w:rPr>
      <w:rFonts w:hint="eastAsia" w:ascii="宋体" w:hAnsi="宋体" w:eastAsia="宋体" w:cs="宋体"/>
      <w:b/>
      <w:color w:val="000000"/>
      <w:sz w:val="36"/>
      <w:szCs w:val="36"/>
      <w:u w:val="none"/>
    </w:rPr>
  </w:style>
  <w:style w:type="character" w:customStyle="1" w:styleId="53">
    <w:name w:val="c3"/>
    <w:basedOn w:val="20"/>
    <w:qFormat/>
    <w:uiPriority w:val="0"/>
  </w:style>
  <w:style w:type="character" w:customStyle="1" w:styleId="54">
    <w:name w:val="font41"/>
    <w:qFormat/>
    <w:uiPriority w:val="0"/>
    <w:rPr>
      <w:rFonts w:hint="eastAsia" w:ascii="宋体" w:hAnsi="宋体" w:eastAsia="宋体" w:cs="宋体"/>
      <w:b/>
      <w:color w:val="000000"/>
      <w:sz w:val="24"/>
      <w:szCs w:val="24"/>
      <w:u w:val="none"/>
    </w:rPr>
  </w:style>
  <w:style w:type="character" w:customStyle="1" w:styleId="55">
    <w:name w:val="font141"/>
    <w:qFormat/>
    <w:uiPriority w:val="0"/>
    <w:rPr>
      <w:rFonts w:hint="eastAsia" w:ascii="宋体" w:hAnsi="宋体" w:eastAsia="宋体" w:cs="宋体"/>
      <w:b/>
      <w:color w:val="000000"/>
      <w:sz w:val="22"/>
      <w:szCs w:val="22"/>
      <w:u w:val="none"/>
    </w:rPr>
  </w:style>
  <w:style w:type="character" w:customStyle="1" w:styleId="56">
    <w:name w:val="red2"/>
    <w:qFormat/>
    <w:uiPriority w:val="0"/>
    <w:rPr>
      <w:color w:val="FF0000"/>
    </w:rPr>
  </w:style>
  <w:style w:type="character" w:customStyle="1" w:styleId="57">
    <w:name w:val="c1"/>
    <w:basedOn w:val="20"/>
    <w:qFormat/>
    <w:uiPriority w:val="0"/>
  </w:style>
  <w:style w:type="character" w:customStyle="1" w:styleId="58">
    <w:name w:val="msg-box16"/>
    <w:basedOn w:val="20"/>
    <w:qFormat/>
    <w:uiPriority w:val="0"/>
  </w:style>
  <w:style w:type="character" w:customStyle="1" w:styleId="59">
    <w:name w:val="font112"/>
    <w:qFormat/>
    <w:uiPriority w:val="0"/>
    <w:rPr>
      <w:rFonts w:hint="eastAsia" w:ascii="宋体" w:hAnsi="宋体" w:eastAsia="宋体" w:cs="宋体"/>
      <w:b/>
      <w:color w:val="000000"/>
      <w:sz w:val="22"/>
      <w:szCs w:val="22"/>
      <w:u w:val="none"/>
    </w:rPr>
  </w:style>
  <w:style w:type="character" w:customStyle="1" w:styleId="60">
    <w:name w:val="bt1"/>
    <w:qFormat/>
    <w:uiPriority w:val="0"/>
    <w:rPr>
      <w:color w:val="FFFFFF"/>
      <w:sz w:val="21"/>
      <w:szCs w:val="21"/>
      <w:shd w:val="clear" w:color="auto" w:fill="0364BE"/>
    </w:rPr>
  </w:style>
  <w:style w:type="character" w:customStyle="1" w:styleId="61">
    <w:name w:val="c2"/>
    <w:basedOn w:val="20"/>
    <w:qFormat/>
    <w:uiPriority w:val="0"/>
  </w:style>
  <w:style w:type="character" w:customStyle="1" w:styleId="62">
    <w:name w:val="font81"/>
    <w:qFormat/>
    <w:uiPriority w:val="0"/>
    <w:rPr>
      <w:rFonts w:hint="default" w:ascii="Times New Roman" w:hAnsi="Times New Roman" w:cs="Times New Roman"/>
      <w:b/>
      <w:color w:val="000000"/>
      <w:sz w:val="22"/>
      <w:szCs w:val="22"/>
      <w:u w:val="none"/>
    </w:rPr>
  </w:style>
  <w:style w:type="paragraph" w:customStyle="1" w:styleId="6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64">
    <w:name w:val="正文首行缩进 Char"/>
    <w:basedOn w:val="29"/>
    <w:link w:val="16"/>
    <w:qFormat/>
    <w:uiPriority w:val="99"/>
    <w:rPr>
      <w:szCs w:val="28"/>
    </w:rPr>
  </w:style>
  <w:style w:type="character" w:customStyle="1" w:styleId="65">
    <w:name w:val="正文文本缩进 2 Char"/>
    <w:basedOn w:val="20"/>
    <w:link w:val="9"/>
    <w:qFormat/>
    <w:uiPriority w:val="99"/>
    <w:rPr>
      <w:rFonts w:ascii="Calibri" w:hAnsi="Calibri" w:cs="宋体"/>
      <w:kern w:val="2"/>
      <w:sz w:val="32"/>
      <w:szCs w:val="22"/>
    </w:rPr>
  </w:style>
  <w:style w:type="character" w:customStyle="1" w:styleId="66">
    <w:name w:val="NormalCharacter"/>
    <w:semiHidden/>
    <w:qFormat/>
    <w:uiPriority w:val="0"/>
    <w:rPr>
      <w:rFonts w:ascii="Calibri" w:hAnsi="Calibri" w:eastAsia="宋体" w:cs="Times New Roman"/>
      <w:kern w:val="2"/>
      <w:sz w:val="21"/>
      <w:szCs w:val="22"/>
      <w:lang w:val="en-US" w:eastAsia="zh-CN" w:bidi="ar-SA"/>
    </w:rPr>
  </w:style>
  <w:style w:type="paragraph" w:customStyle="1" w:styleId="67">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68">
    <w:name w:val="BodyTextIndent2"/>
    <w:basedOn w:val="1"/>
    <w:qFormat/>
    <w:uiPriority w:val="0"/>
    <w:pPr>
      <w:spacing w:after="120" w:line="480" w:lineRule="auto"/>
      <w:ind w:left="420" w:leftChars="200"/>
    </w:pPr>
    <w:rPr>
      <w:rFonts w:ascii="Calibri" w:hAnsi="Calibri"/>
      <w:szCs w:val="22"/>
    </w:rPr>
  </w:style>
  <w:style w:type="paragraph" w:customStyle="1" w:styleId="69">
    <w:name w:val="列出段落1"/>
    <w:basedOn w:val="1"/>
    <w:qFormat/>
    <w:uiPriority w:val="34"/>
    <w:pPr>
      <w:ind w:firstLine="420" w:firstLineChars="200"/>
    </w:pPr>
    <w:rPr>
      <w:rFonts w:ascii="Calibri" w:hAnsi="Calibri"/>
      <w:szCs w:val="22"/>
    </w:rPr>
  </w:style>
  <w:style w:type="paragraph" w:customStyle="1" w:styleId="70">
    <w:name w:val="Char1 Char Char Char"/>
    <w:basedOn w:val="1"/>
    <w:qFormat/>
    <w:uiPriority w:val="0"/>
    <w:pPr>
      <w:tabs>
        <w:tab w:val="left" w:pos="900"/>
      </w:tabs>
      <w:spacing w:before="312" w:after="312" w:line="360" w:lineRule="auto"/>
      <w:ind w:left="900" w:hanging="360"/>
    </w:pPr>
  </w:style>
  <w:style w:type="character" w:customStyle="1" w:styleId="71">
    <w:name w:val="apple-converted-space"/>
    <w:basedOn w:val="20"/>
    <w:uiPriority w:val="0"/>
  </w:style>
  <w:style w:type="paragraph" w:customStyle="1" w:styleId="72">
    <w:name w:val="p0"/>
    <w:basedOn w:val="1"/>
    <w:qFormat/>
    <w:uiPriority w:val="0"/>
    <w:pPr>
      <w:widowControl/>
      <w:jc w:val="left"/>
    </w:pPr>
    <w:rPr>
      <w:rFonts w:ascii="宋体" w:hAnsi="宋体" w:cs="宋体"/>
      <w:kern w:val="0"/>
      <w:sz w:val="24"/>
    </w:rPr>
  </w:style>
  <w:style w:type="paragraph" w:styleId="73">
    <w:name w:val="List Paragraph"/>
    <w:basedOn w:val="1"/>
    <w:qFormat/>
    <w:uiPriority w:val="34"/>
    <w:pPr>
      <w:widowControl/>
      <w:spacing w:line="580" w:lineRule="exact"/>
      <w:ind w:firstLine="420" w:firstLineChars="200"/>
      <w:jc w:val="left"/>
    </w:pPr>
    <w:rPr>
      <w:rFonts w:ascii="仿宋" w:hAnsi="仿宋" w:eastAsia="仿宋"/>
      <w:sz w:val="32"/>
      <w:szCs w:val="32"/>
    </w:rPr>
  </w:style>
  <w:style w:type="character" w:customStyle="1" w:styleId="74">
    <w:name w:val="bsharetext"/>
    <w:basedOn w:val="20"/>
    <w:qFormat/>
    <w:uiPriority w:val="0"/>
  </w:style>
  <w:style w:type="character" w:customStyle="1" w:styleId="75">
    <w:name w:val="font01"/>
    <w:basedOn w:val="20"/>
    <w:qFormat/>
    <w:uiPriority w:val="0"/>
    <w:rPr>
      <w:rFonts w:hint="eastAsia" w:ascii="宋体" w:hAnsi="宋体" w:eastAsia="宋体" w:cs="宋体"/>
      <w:color w:val="000000"/>
      <w:sz w:val="22"/>
      <w:szCs w:val="22"/>
      <w:u w:val="none"/>
    </w:rPr>
  </w:style>
  <w:style w:type="character" w:customStyle="1" w:styleId="76">
    <w:name w:val="font31"/>
    <w:basedOn w:val="20"/>
    <w:qFormat/>
    <w:uiPriority w:val="0"/>
    <w:rPr>
      <w:rFonts w:hint="eastAsia" w:ascii="宋体" w:hAnsi="宋体" w:eastAsia="宋体" w:cs="宋体"/>
      <w:b/>
      <w:color w:val="000000"/>
      <w:sz w:val="22"/>
      <w:szCs w:val="22"/>
      <w:u w:val="none"/>
    </w:rPr>
  </w:style>
  <w:style w:type="character" w:customStyle="1" w:styleId="77">
    <w:name w:val="font21"/>
    <w:basedOn w:val="20"/>
    <w:qFormat/>
    <w:uiPriority w:val="0"/>
    <w:rPr>
      <w:rFonts w:hint="eastAsia" w:ascii="宋体" w:hAnsi="宋体" w:eastAsia="宋体" w:cs="宋体"/>
      <w:color w:val="000000"/>
      <w:sz w:val="22"/>
      <w:szCs w:val="22"/>
      <w:u w:val="none"/>
    </w:rPr>
  </w:style>
  <w:style w:type="character" w:customStyle="1" w:styleId="78">
    <w:name w:val="font11"/>
    <w:basedOn w:val="20"/>
    <w:qFormat/>
    <w:uiPriority w:val="0"/>
    <w:rPr>
      <w:rFonts w:hint="eastAsia" w:ascii="宋体" w:hAnsi="宋体" w:eastAsia="宋体" w:cs="宋体"/>
      <w:color w:val="000000"/>
      <w:sz w:val="22"/>
      <w:szCs w:val="22"/>
      <w:u w:val="none"/>
    </w:rPr>
  </w:style>
  <w:style w:type="paragraph" w:customStyle="1" w:styleId="79">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80">
    <w:name w:val="正文文本 2 Char"/>
    <w:basedOn w:val="20"/>
    <w:link w:val="12"/>
    <w:qFormat/>
    <w:uiPriority w:val="0"/>
    <w:rPr>
      <w:kern w:val="2"/>
      <w:sz w:val="21"/>
      <w:szCs w:val="24"/>
    </w:rPr>
  </w:style>
  <w:style w:type="character" w:customStyle="1" w:styleId="81">
    <w:name w:val="fontstyle01"/>
    <w:basedOn w:val="20"/>
    <w:qFormat/>
    <w:uiPriority w:val="0"/>
    <w:rPr>
      <w:rFonts w:hint="eastAsia" w:ascii="宋体" w:hAnsi="宋体" w:eastAsia="宋体"/>
      <w:color w:val="000000"/>
      <w:sz w:val="24"/>
      <w:szCs w:val="24"/>
    </w:rPr>
  </w:style>
  <w:style w:type="paragraph" w:customStyle="1" w:styleId="82">
    <w:name w:val="[Normal]"/>
    <w:qFormat/>
    <w:uiPriority w:val="0"/>
    <w:rPr>
      <w:rFonts w:ascii="宋体" w:hAnsi="宋体" w:eastAsia="宋体" w:cs="Times New Roman"/>
      <w:sz w:val="24"/>
      <w:szCs w:val="22"/>
      <w:lang w:val="zh-CN"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4D722F-992D-4273-A9B2-D1E010913EF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700</Words>
  <Characters>3993</Characters>
  <Lines>33</Lines>
  <Paragraphs>9</Paragraphs>
  <TotalTime>12</TotalTime>
  <ScaleCrop>false</ScaleCrop>
  <LinksUpToDate>false</LinksUpToDate>
  <CharactersWithSpaces>4684</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2023-06-15T09:14:00Z</dcterms:created>
  <dc:creator>张玉</dc:creator>
  <cp:lastModifiedBy>Administrator</cp:lastModifiedBy>
  <cp:lastPrinted>2023-04-28T08:06:00Z</cp:lastPrinted>
  <dcterms:modified xsi:type="dcterms:W3CDTF">2025-12-12T01:39:15Z</dcterms:modified>
  <dc:title>关于下达淮北市2011年科技计划项目的通知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KSOSaveFontToCloudKey">
    <vt:lpwstr>299023085_btnclosed</vt:lpwstr>
  </property>
  <property fmtid="{D5CDD505-2E9C-101B-9397-08002B2CF9AE}" pid="4" name="ICV">
    <vt:lpwstr>069FB8EFBC864FFD89F72B2028BF73B4</vt:lpwstr>
  </property>
</Properties>
</file>